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2D48" w14:textId="77777777" w:rsidR="005D0E6F" w:rsidRDefault="005D0E6F">
      <w:pPr>
        <w:pStyle w:val="BodyText"/>
        <w:spacing w:before="59"/>
        <w:rPr>
          <w:rFonts w:ascii="Times New Roman"/>
          <w:sz w:val="20"/>
        </w:rPr>
      </w:pPr>
    </w:p>
    <w:p w14:paraId="0C5E2D49" w14:textId="77777777" w:rsidR="005D0E6F" w:rsidRDefault="00E57F28">
      <w:pPr>
        <w:pStyle w:val="BodyText"/>
        <w:ind w:left="120"/>
        <w:rPr>
          <w:rFonts w:ascii="Times New Roman"/>
          <w:sz w:val="20"/>
        </w:rPr>
      </w:pPr>
      <w:r>
        <w:rPr>
          <w:rFonts w:ascii="Times New Roman"/>
          <w:noProof/>
          <w:sz w:val="20"/>
        </w:rPr>
        <mc:AlternateContent>
          <mc:Choice Requires="wpg">
            <w:drawing>
              <wp:inline distT="0" distB="0" distL="0" distR="0" wp14:anchorId="0C5E2D6C" wp14:editId="0C5E2D6D">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6096" y="0"/>
                                </a:lnTo>
                                <a:lnTo>
                                  <a:pt x="0" y="0"/>
                                </a:lnTo>
                                <a:lnTo>
                                  <a:pt x="0" y="6108"/>
                                </a:lnTo>
                                <a:lnTo>
                                  <a:pt x="0" y="394728"/>
                                </a:lnTo>
                                <a:lnTo>
                                  <a:pt x="0" y="400824"/>
                                </a:lnTo>
                                <a:lnTo>
                                  <a:pt x="6096" y="400824"/>
                                </a:lnTo>
                                <a:lnTo>
                                  <a:pt x="5937504" y="400824"/>
                                </a:lnTo>
                                <a:lnTo>
                                  <a:pt x="5943600" y="400824"/>
                                </a:lnTo>
                                <a:lnTo>
                                  <a:pt x="5943600" y="394728"/>
                                </a:lnTo>
                                <a:lnTo>
                                  <a:pt x="5943600" y="6108"/>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0C5E2D78" w14:textId="77777777" w:rsidR="005D0E6F" w:rsidRDefault="00E57F28">
                              <w:pPr>
                                <w:spacing w:before="120"/>
                                <w:jc w:val="center"/>
                                <w:rPr>
                                  <w:b/>
                                  <w:sz w:val="32"/>
                                </w:rPr>
                              </w:pPr>
                              <w:r>
                                <w:rPr>
                                  <w:b/>
                                  <w:color w:val="FFFFFF"/>
                                  <w:sz w:val="32"/>
                                </w:rPr>
                                <w:t>SOP</w:t>
                              </w:r>
                              <w:r>
                                <w:rPr>
                                  <w:b/>
                                  <w:color w:val="FFFFFF"/>
                                  <w:spacing w:val="-7"/>
                                  <w:sz w:val="32"/>
                                </w:rPr>
                                <w:t xml:space="preserve"> </w:t>
                              </w:r>
                              <w:r>
                                <w:rPr>
                                  <w:b/>
                                  <w:color w:val="FFFFFF"/>
                                  <w:sz w:val="32"/>
                                </w:rPr>
                                <w:t>704:</w:t>
                              </w:r>
                              <w:r>
                                <w:rPr>
                                  <w:b/>
                                  <w:color w:val="FFFFFF"/>
                                  <w:spacing w:val="-6"/>
                                  <w:sz w:val="32"/>
                                </w:rPr>
                                <w:t xml:space="preserve"> </w:t>
                              </w:r>
                              <w:r>
                                <w:rPr>
                                  <w:b/>
                                  <w:color w:val="FFFFFF"/>
                                  <w:spacing w:val="-2"/>
                                  <w:sz w:val="32"/>
                                </w:rPr>
                                <w:t>ASSENT</w:t>
                              </w:r>
                            </w:p>
                          </w:txbxContent>
                        </wps:txbx>
                        <wps:bodyPr wrap="square" lIns="0" tIns="0" rIns="0" bIns="0" rtlCol="0">
                          <a:noAutofit/>
                        </wps:bodyPr>
                      </wps:wsp>
                    </wpg:wgp>
                  </a:graphicData>
                </a:graphic>
              </wp:inline>
            </w:drawing>
          </mc:Choice>
          <mc:Fallback>
            <w:pict>
              <v:group w14:anchorId="0C5E2D6C"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6096,,,,,6108,,394728r,6096l6096,400824r5931408,l5943600,400824r,-6096l5943600,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5E2D78" w14:textId="77777777" w:rsidR="005D0E6F" w:rsidRDefault="00E57F28">
                        <w:pPr>
                          <w:spacing w:before="120"/>
                          <w:jc w:val="center"/>
                          <w:rPr>
                            <w:b/>
                            <w:sz w:val="32"/>
                          </w:rPr>
                        </w:pPr>
                        <w:r>
                          <w:rPr>
                            <w:b/>
                            <w:color w:val="FFFFFF"/>
                            <w:sz w:val="32"/>
                          </w:rPr>
                          <w:t>SOP</w:t>
                        </w:r>
                        <w:r>
                          <w:rPr>
                            <w:b/>
                            <w:color w:val="FFFFFF"/>
                            <w:spacing w:val="-7"/>
                            <w:sz w:val="32"/>
                          </w:rPr>
                          <w:t xml:space="preserve"> </w:t>
                        </w:r>
                        <w:r>
                          <w:rPr>
                            <w:b/>
                            <w:color w:val="FFFFFF"/>
                            <w:sz w:val="32"/>
                          </w:rPr>
                          <w:t>704:</w:t>
                        </w:r>
                        <w:r>
                          <w:rPr>
                            <w:b/>
                            <w:color w:val="FFFFFF"/>
                            <w:spacing w:val="-6"/>
                            <w:sz w:val="32"/>
                          </w:rPr>
                          <w:t xml:space="preserve"> </w:t>
                        </w:r>
                        <w:r>
                          <w:rPr>
                            <w:b/>
                            <w:color w:val="FFFFFF"/>
                            <w:spacing w:val="-2"/>
                            <w:sz w:val="32"/>
                          </w:rPr>
                          <w:t>ASSENT</w:t>
                        </w:r>
                      </w:p>
                    </w:txbxContent>
                  </v:textbox>
                </v:shape>
                <w10:anchorlock/>
              </v:group>
            </w:pict>
          </mc:Fallback>
        </mc:AlternateContent>
      </w:r>
    </w:p>
    <w:p w14:paraId="0C5E2D4A" w14:textId="77777777" w:rsidR="005D0E6F" w:rsidRDefault="00E57F28">
      <w:pPr>
        <w:pStyle w:val="Heading1"/>
        <w:spacing w:before="229"/>
        <w:ind w:left="120"/>
      </w:pPr>
      <w:r>
        <w:rPr>
          <w:spacing w:val="-2"/>
        </w:rPr>
        <w:t>PURPOSE</w:t>
      </w:r>
    </w:p>
    <w:p w14:paraId="0C5E2D4B" w14:textId="48BBBD3B" w:rsidR="005D0E6F" w:rsidRDefault="00E57F28">
      <w:pPr>
        <w:pStyle w:val="BodyText"/>
        <w:ind w:left="120" w:right="136"/>
      </w:pPr>
      <w:r>
        <w:t>The</w:t>
      </w:r>
      <w:r>
        <w:rPr>
          <w:spacing w:val="-2"/>
        </w:rPr>
        <w:t xml:space="preserve"> </w:t>
      </w:r>
      <w:r>
        <w:t>Queen’s Medical Center Research Institutional Review Committee (RIRC)</w:t>
      </w:r>
      <w:r>
        <w:rPr>
          <w:spacing w:val="-3"/>
        </w:rPr>
        <w:t xml:space="preserve"> </w:t>
      </w:r>
      <w:r>
        <w:t>follows</w:t>
      </w:r>
      <w:r>
        <w:rPr>
          <w:spacing w:val="-5"/>
        </w:rPr>
        <w:t xml:space="preserve"> </w:t>
      </w:r>
      <w:r>
        <w:t>the</w:t>
      </w:r>
      <w:r>
        <w:rPr>
          <w:spacing w:val="-2"/>
        </w:rPr>
        <w:t xml:space="preserve"> </w:t>
      </w:r>
      <w:r>
        <w:t>regulatory</w:t>
      </w:r>
      <w:r>
        <w:rPr>
          <w:spacing w:val="-2"/>
        </w:rPr>
        <w:t xml:space="preserve"> </w:t>
      </w:r>
      <w:r>
        <w:t>requirements</w:t>
      </w:r>
      <w:r>
        <w:rPr>
          <w:spacing w:val="-3"/>
        </w:rPr>
        <w:t xml:space="preserve"> </w:t>
      </w:r>
      <w:r>
        <w:t>for</w:t>
      </w:r>
      <w:r>
        <w:rPr>
          <w:spacing w:val="-4"/>
        </w:rPr>
        <w:t xml:space="preserve"> </w:t>
      </w:r>
      <w:r>
        <w:t>making adequate provisions to obtain the assent</w:t>
      </w:r>
      <w:r>
        <w:rPr>
          <w:spacing w:val="-1"/>
        </w:rPr>
        <w:t xml:space="preserve"> </w:t>
      </w:r>
      <w:r>
        <w:t>of children in research</w:t>
      </w:r>
      <w:r>
        <w:rPr>
          <w:spacing w:val="-2"/>
        </w:rPr>
        <w:t xml:space="preserve"> </w:t>
      </w:r>
      <w:r>
        <w:t>as</w:t>
      </w:r>
      <w:r>
        <w:rPr>
          <w:spacing w:val="-1"/>
        </w:rPr>
        <w:t xml:space="preserve"> </w:t>
      </w:r>
      <w:r>
        <w:t>outlined in this policy. Additionally, the Queen’s Medical Center RIRC requires adequate provisions be made to obtain the assent of adults with diminished decision-making capability, as outlined in this policy.</w:t>
      </w:r>
    </w:p>
    <w:p w14:paraId="0C5E2D4C" w14:textId="77777777" w:rsidR="005D0E6F" w:rsidRDefault="00E57F28">
      <w:pPr>
        <w:pStyle w:val="Heading1"/>
        <w:spacing w:before="267"/>
        <w:ind w:left="120"/>
      </w:pPr>
      <w:r>
        <w:rPr>
          <w:spacing w:val="-4"/>
        </w:rPr>
        <w:t>SCOPE</w:t>
      </w:r>
    </w:p>
    <w:p w14:paraId="0C5E2D4D" w14:textId="15319422" w:rsidR="005D0E6F" w:rsidRDefault="00E57F28">
      <w:pPr>
        <w:pStyle w:val="BodyText"/>
        <w:ind w:left="120"/>
      </w:pPr>
      <w:r>
        <w:t>This</w:t>
      </w:r>
      <w:r>
        <w:rPr>
          <w:spacing w:val="-6"/>
        </w:rPr>
        <w:t xml:space="preserve"> </w:t>
      </w:r>
      <w:r>
        <w:t>policy</w:t>
      </w:r>
      <w:r>
        <w:rPr>
          <w:spacing w:val="-3"/>
        </w:rPr>
        <w:t xml:space="preserve"> </w:t>
      </w:r>
      <w:r>
        <w:t>applies</w:t>
      </w:r>
      <w:r>
        <w:rPr>
          <w:spacing w:val="-5"/>
        </w:rPr>
        <w:t xml:space="preserve"> </w:t>
      </w:r>
      <w:r>
        <w:t>to</w:t>
      </w:r>
      <w:r>
        <w:rPr>
          <w:spacing w:val="-5"/>
        </w:rPr>
        <w:t xml:space="preserve"> </w:t>
      </w:r>
      <w:r>
        <w:t>non-exempt</w:t>
      </w:r>
      <w:r>
        <w:rPr>
          <w:spacing w:val="-2"/>
        </w:rPr>
        <w:t xml:space="preserve"> </w:t>
      </w:r>
      <w:r>
        <w:t>human</w:t>
      </w:r>
      <w:r>
        <w:rPr>
          <w:spacing w:val="-6"/>
        </w:rPr>
        <w:t xml:space="preserve"> </w:t>
      </w:r>
      <w:r>
        <w:t>subject</w:t>
      </w:r>
      <w:r>
        <w:rPr>
          <w:spacing w:val="-6"/>
        </w:rPr>
        <w:t xml:space="preserve"> </w:t>
      </w:r>
      <w:r>
        <w:t>research</w:t>
      </w:r>
      <w:r>
        <w:rPr>
          <w:spacing w:val="-4"/>
        </w:rPr>
        <w:t xml:space="preserve"> </w:t>
      </w:r>
      <w:r>
        <w:t>conducted</w:t>
      </w:r>
      <w:r>
        <w:rPr>
          <w:spacing w:val="-5"/>
        </w:rPr>
        <w:t xml:space="preserve"> </w:t>
      </w:r>
      <w:r>
        <w:t>at</w:t>
      </w:r>
      <w:r>
        <w:rPr>
          <w:spacing w:val="-5"/>
        </w:rPr>
        <w:t xml:space="preserve"> </w:t>
      </w:r>
      <w:r>
        <w:t>the</w:t>
      </w:r>
      <w:r>
        <w:rPr>
          <w:spacing w:val="-6"/>
        </w:rPr>
        <w:t xml:space="preserve"> </w:t>
      </w:r>
      <w:r>
        <w:t>Queen’s Medical Center</w:t>
      </w:r>
      <w:r>
        <w:rPr>
          <w:spacing w:val="-2"/>
        </w:rPr>
        <w:t>.</w:t>
      </w:r>
    </w:p>
    <w:p w14:paraId="0C5E2D4E" w14:textId="77777777" w:rsidR="005D0E6F" w:rsidRDefault="005D0E6F">
      <w:pPr>
        <w:pStyle w:val="BodyText"/>
        <w:spacing w:before="1"/>
      </w:pPr>
    </w:p>
    <w:p w14:paraId="0C5E2D4F" w14:textId="77777777" w:rsidR="005D0E6F" w:rsidRDefault="00E57F28">
      <w:pPr>
        <w:pStyle w:val="Heading1"/>
      </w:pPr>
      <w:r>
        <w:rPr>
          <w:spacing w:val="-2"/>
        </w:rPr>
        <w:t>DEFINITIONS</w:t>
      </w:r>
    </w:p>
    <w:p w14:paraId="0C5E2D50" w14:textId="77777777" w:rsidR="005D0E6F" w:rsidRDefault="005D0E6F">
      <w:pPr>
        <w:pStyle w:val="BodyText"/>
        <w:rPr>
          <w:b/>
        </w:rPr>
      </w:pPr>
    </w:p>
    <w:p w14:paraId="0C5E2D51" w14:textId="5AF0E623" w:rsidR="005D0E6F" w:rsidRDefault="00E57F28" w:rsidP="00FB0790">
      <w:pPr>
        <w:pStyle w:val="BodyText"/>
        <w:numPr>
          <w:ilvl w:val="0"/>
          <w:numId w:val="4"/>
        </w:numPr>
      </w:pPr>
      <w:r>
        <w:rPr>
          <w:b/>
          <w:i/>
        </w:rPr>
        <w:t>Assent</w:t>
      </w:r>
      <w:r>
        <w:rPr>
          <w:b/>
          <w:i/>
          <w:spacing w:val="-4"/>
        </w:rPr>
        <w:t xml:space="preserve"> </w:t>
      </w:r>
      <w:r>
        <w:t>means</w:t>
      </w:r>
      <w:r>
        <w:rPr>
          <w:spacing w:val="-2"/>
        </w:rPr>
        <w:t xml:space="preserve"> </w:t>
      </w:r>
      <w:r>
        <w:t>a</w:t>
      </w:r>
      <w:r>
        <w:rPr>
          <w:spacing w:val="-2"/>
        </w:rPr>
        <w:t xml:space="preserve"> </w:t>
      </w:r>
      <w:r>
        <w:t>participant’s</w:t>
      </w:r>
      <w:r>
        <w:rPr>
          <w:spacing w:val="-2"/>
        </w:rPr>
        <w:t xml:space="preserve"> </w:t>
      </w:r>
      <w:r>
        <w:t>affirmative</w:t>
      </w:r>
      <w:r>
        <w:rPr>
          <w:spacing w:val="-1"/>
        </w:rPr>
        <w:t xml:space="preserve"> </w:t>
      </w:r>
      <w:r>
        <w:t>agreement</w:t>
      </w:r>
      <w:r>
        <w:rPr>
          <w:spacing w:val="-4"/>
        </w:rPr>
        <w:t xml:space="preserve"> </w:t>
      </w:r>
      <w:r>
        <w:t>to</w:t>
      </w:r>
      <w:r>
        <w:rPr>
          <w:spacing w:val="-3"/>
        </w:rPr>
        <w:t xml:space="preserve"> </w:t>
      </w:r>
      <w:r>
        <w:t>participate</w:t>
      </w:r>
      <w:r>
        <w:rPr>
          <w:spacing w:val="-4"/>
        </w:rPr>
        <w:t xml:space="preserve"> </w:t>
      </w:r>
      <w:r>
        <w:t>in</w:t>
      </w:r>
      <w:r>
        <w:rPr>
          <w:spacing w:val="-3"/>
        </w:rPr>
        <w:t xml:space="preserve"> </w:t>
      </w:r>
      <w:r>
        <w:t>research.</w:t>
      </w:r>
      <w:r>
        <w:rPr>
          <w:spacing w:val="-5"/>
        </w:rPr>
        <w:t xml:space="preserve"> </w:t>
      </w:r>
      <w:r>
        <w:t>Mere</w:t>
      </w:r>
      <w:r>
        <w:rPr>
          <w:spacing w:val="-1"/>
        </w:rPr>
        <w:t xml:space="preserve"> </w:t>
      </w:r>
      <w:r>
        <w:t>failure</w:t>
      </w:r>
      <w:r>
        <w:rPr>
          <w:spacing w:val="-4"/>
        </w:rPr>
        <w:t xml:space="preserve"> </w:t>
      </w:r>
      <w:r>
        <w:t>to object absent affirmative agreement, should not be construed as assent.</w:t>
      </w:r>
    </w:p>
    <w:p w14:paraId="45E665DC" w14:textId="1CC1A904" w:rsidR="001E091A" w:rsidRDefault="001E091A" w:rsidP="00FB0790">
      <w:pPr>
        <w:pStyle w:val="BodyText"/>
        <w:numPr>
          <w:ilvl w:val="0"/>
          <w:numId w:val="4"/>
        </w:numPr>
      </w:pPr>
      <w:r>
        <w:rPr>
          <w:b/>
          <w:i/>
        </w:rPr>
        <w:t>Children</w:t>
      </w:r>
      <w:r>
        <w:rPr>
          <w:bCs/>
          <w:iCs/>
        </w:rPr>
        <w:t xml:space="preserve"> means persons who have not attained the legal age for consent to treatments or procedures involved in the research, under the applicable law of jurisdiction in which the research will be conducted.  If research on specific treatment involves solely treatments or procedures for which minors can give consent outside of research context</w:t>
      </w:r>
      <w:r w:rsidR="00FD337B">
        <w:rPr>
          <w:bCs/>
          <w:iCs/>
        </w:rPr>
        <w:t xml:space="preserve"> (under applicate state and local laws, for example, research on sexually transmitted diseases or pregnancy), such individuals would not meet the definition of children.</w:t>
      </w:r>
    </w:p>
    <w:p w14:paraId="0C5E2D52" w14:textId="072FB61B" w:rsidR="005D0E6F" w:rsidRDefault="00E57F28">
      <w:pPr>
        <w:pStyle w:val="Heading1"/>
        <w:spacing w:before="267"/>
      </w:pPr>
      <w:r>
        <w:rPr>
          <w:spacing w:val="-2"/>
        </w:rPr>
        <w:t>BACKGROUND</w:t>
      </w:r>
    </w:p>
    <w:p w14:paraId="06B01DE7" w14:textId="66B9BCCE" w:rsidR="00FD337B" w:rsidRDefault="00E57F28">
      <w:pPr>
        <w:pStyle w:val="BodyText"/>
        <w:ind w:left="119" w:right="283"/>
      </w:pPr>
      <w:r>
        <w:t>The</w:t>
      </w:r>
      <w:r>
        <w:rPr>
          <w:spacing w:val="-1"/>
        </w:rPr>
        <w:t xml:space="preserve"> </w:t>
      </w:r>
      <w:r>
        <w:t>principle</w:t>
      </w:r>
      <w:r>
        <w:rPr>
          <w:spacing w:val="-4"/>
        </w:rPr>
        <w:t xml:space="preserve"> </w:t>
      </w:r>
      <w:r>
        <w:t>of</w:t>
      </w:r>
      <w:r>
        <w:rPr>
          <w:spacing w:val="-5"/>
        </w:rPr>
        <w:t xml:space="preserve"> </w:t>
      </w:r>
      <w:r>
        <w:t>“respect</w:t>
      </w:r>
      <w:r>
        <w:rPr>
          <w:spacing w:val="-1"/>
        </w:rPr>
        <w:t xml:space="preserve"> </w:t>
      </w:r>
      <w:r>
        <w:t>for</w:t>
      </w:r>
      <w:r>
        <w:rPr>
          <w:spacing w:val="-2"/>
        </w:rPr>
        <w:t xml:space="preserve"> </w:t>
      </w:r>
      <w:r>
        <w:t>persons”</w:t>
      </w:r>
      <w:r>
        <w:rPr>
          <w:spacing w:val="-1"/>
        </w:rPr>
        <w:t xml:space="preserve"> </w:t>
      </w:r>
      <w:r>
        <w:t>requires</w:t>
      </w:r>
      <w:r>
        <w:rPr>
          <w:spacing w:val="-2"/>
        </w:rPr>
        <w:t xml:space="preserve"> </w:t>
      </w:r>
      <w:r>
        <w:t>that</w:t>
      </w:r>
      <w:r>
        <w:rPr>
          <w:spacing w:val="-1"/>
        </w:rPr>
        <w:t xml:space="preserve"> </w:t>
      </w:r>
      <w:r>
        <w:t>the</w:t>
      </w:r>
      <w:r>
        <w:rPr>
          <w:spacing w:val="-1"/>
        </w:rPr>
        <w:t xml:space="preserve"> </w:t>
      </w:r>
      <w:r>
        <w:t>choice</w:t>
      </w:r>
      <w:r>
        <w:rPr>
          <w:spacing w:val="-4"/>
        </w:rPr>
        <w:t xml:space="preserve"> </w:t>
      </w:r>
      <w:r>
        <w:t>of</w:t>
      </w:r>
      <w:r>
        <w:rPr>
          <w:spacing w:val="-2"/>
        </w:rPr>
        <w:t xml:space="preserve"> </w:t>
      </w:r>
      <w:r>
        <w:t>an</w:t>
      </w:r>
      <w:r>
        <w:rPr>
          <w:spacing w:val="-3"/>
        </w:rPr>
        <w:t xml:space="preserve"> </w:t>
      </w:r>
      <w:r>
        <w:t>autonomous</w:t>
      </w:r>
      <w:r>
        <w:rPr>
          <w:spacing w:val="-4"/>
        </w:rPr>
        <w:t xml:space="preserve"> </w:t>
      </w:r>
      <w:r>
        <w:t>person</w:t>
      </w:r>
      <w:r>
        <w:rPr>
          <w:spacing w:val="-3"/>
        </w:rPr>
        <w:t xml:space="preserve"> </w:t>
      </w:r>
      <w:r>
        <w:t>be</w:t>
      </w:r>
      <w:r>
        <w:rPr>
          <w:spacing w:val="-1"/>
        </w:rPr>
        <w:t xml:space="preserve"> </w:t>
      </w:r>
      <w:r>
        <w:t>respected. Under the usual conditions of research, this is accomplished by soliciting the informed consent of the prospective research participant. In the case of an adult with diminished decision-making capacity or non-autonomous child, applying the principle of respect for persons is problematic. Therefore, permission of either the parent or legally authorized representative is required (see SOP 701: General Requirements of Informed Consent). However, individuals capable of some degree of understanding (generally, a child of seven or older, or an adult with diminished decision-making capacity) should participate</w:t>
      </w:r>
      <w:r>
        <w:rPr>
          <w:spacing w:val="-1"/>
        </w:rPr>
        <w:t xml:space="preserve"> </w:t>
      </w:r>
      <w:r>
        <w:t>in</w:t>
      </w:r>
      <w:r>
        <w:rPr>
          <w:spacing w:val="-3"/>
        </w:rPr>
        <w:t xml:space="preserve"> </w:t>
      </w:r>
      <w:r>
        <w:t>research</w:t>
      </w:r>
      <w:r>
        <w:rPr>
          <w:spacing w:val="-3"/>
        </w:rPr>
        <w:t xml:space="preserve"> </w:t>
      </w:r>
      <w:r>
        <w:t>only</w:t>
      </w:r>
      <w:r>
        <w:rPr>
          <w:spacing w:val="-3"/>
        </w:rPr>
        <w:t xml:space="preserve"> </w:t>
      </w:r>
      <w:r>
        <w:t>if</w:t>
      </w:r>
      <w:r>
        <w:rPr>
          <w:spacing w:val="-2"/>
        </w:rPr>
        <w:t xml:space="preserve"> </w:t>
      </w:r>
      <w:r>
        <w:t>they</w:t>
      </w:r>
      <w:r>
        <w:rPr>
          <w:spacing w:val="-1"/>
        </w:rPr>
        <w:t xml:space="preserve"> </w:t>
      </w:r>
      <w:r>
        <w:t>assent.</w:t>
      </w:r>
      <w:r>
        <w:rPr>
          <w:spacing w:val="-2"/>
        </w:rPr>
        <w:t xml:space="preserve"> </w:t>
      </w:r>
      <w:r>
        <w:t>When</w:t>
      </w:r>
      <w:r>
        <w:rPr>
          <w:spacing w:val="-3"/>
        </w:rPr>
        <w:t xml:space="preserve"> </w:t>
      </w:r>
      <w:r>
        <w:t>assent</w:t>
      </w:r>
      <w:r>
        <w:rPr>
          <w:spacing w:val="-1"/>
        </w:rPr>
        <w:t xml:space="preserve"> </w:t>
      </w:r>
      <w:r>
        <w:t>is</w:t>
      </w:r>
      <w:r>
        <w:rPr>
          <w:spacing w:val="-2"/>
        </w:rPr>
        <w:t xml:space="preserve"> </w:t>
      </w:r>
      <w:r>
        <w:t>required</w:t>
      </w:r>
      <w:r>
        <w:rPr>
          <w:spacing w:val="-5"/>
        </w:rPr>
        <w:t xml:space="preserve"> </w:t>
      </w:r>
      <w:r>
        <w:t>by</w:t>
      </w:r>
      <w:r>
        <w:rPr>
          <w:spacing w:val="-1"/>
        </w:rPr>
        <w:t xml:space="preserve"> </w:t>
      </w:r>
      <w:r>
        <w:t>the</w:t>
      </w:r>
      <w:r>
        <w:rPr>
          <w:spacing w:val="-1"/>
        </w:rPr>
        <w:t xml:space="preserve"> </w:t>
      </w:r>
      <w:r>
        <w:t>RIRC,</w:t>
      </w:r>
      <w:r>
        <w:rPr>
          <w:spacing w:val="-4"/>
        </w:rPr>
        <w:t xml:space="preserve"> </w:t>
      </w:r>
      <w:r>
        <w:t>if</w:t>
      </w:r>
      <w:r>
        <w:rPr>
          <w:spacing w:val="-2"/>
        </w:rPr>
        <w:t xml:space="preserve"> </w:t>
      </w:r>
      <w:r>
        <w:t>the</w:t>
      </w:r>
      <w:r>
        <w:rPr>
          <w:spacing w:val="-1"/>
        </w:rPr>
        <w:t xml:space="preserve"> </w:t>
      </w:r>
      <w:r>
        <w:t>individual</w:t>
      </w:r>
      <w:r>
        <w:rPr>
          <w:spacing w:val="-2"/>
        </w:rPr>
        <w:t xml:space="preserve"> </w:t>
      </w:r>
      <w:r>
        <w:t xml:space="preserve">dissents from participating in research, the individual’s decision </w:t>
      </w:r>
      <w:r w:rsidR="001E091A">
        <w:t>prevails</w:t>
      </w:r>
      <w:r>
        <w:t>.</w:t>
      </w:r>
      <w:r w:rsidR="00FD337B">
        <w:t xml:space="preserve">  Conversely, if a child assents to participate in research, and parental consent has not been waived by RIRC, the permission of the parents or guardian is also required before the child can be enrolled in the research. </w:t>
      </w:r>
    </w:p>
    <w:p w14:paraId="6BBA98B4" w14:textId="77777777" w:rsidR="00FD337B" w:rsidRDefault="00FD337B">
      <w:pPr>
        <w:pStyle w:val="BodyText"/>
        <w:ind w:left="119" w:right="283"/>
      </w:pPr>
    </w:p>
    <w:p w14:paraId="0C5E2D53" w14:textId="24BA196D" w:rsidR="005D0E6F" w:rsidRDefault="00FD337B">
      <w:pPr>
        <w:pStyle w:val="BodyText"/>
        <w:ind w:left="119" w:right="283"/>
      </w:pPr>
      <w:r>
        <w:t xml:space="preserve">The RIRC may determine that permission of one parent is sufficient for research to be conducted under </w:t>
      </w:r>
      <w:r w:rsidR="00E0546B">
        <w:t xml:space="preserve">45CFR </w:t>
      </w:r>
      <w:r>
        <w:t xml:space="preserve">46.404 or 46.405.  When research is to be conducted under 46.406 or 46.407, permission must be obtained from both parents, unless one parent is deceased, unknown, incompetent, or not reasonably available, or when only one parent has legal responsibility for the care and custody of the child.   </w:t>
      </w:r>
    </w:p>
    <w:p w14:paraId="0C5E2D54" w14:textId="19E2FE49" w:rsidR="005D0E6F" w:rsidRDefault="00E57F28">
      <w:pPr>
        <w:pStyle w:val="BodyText"/>
        <w:spacing w:before="268"/>
        <w:ind w:left="119" w:hanging="1"/>
      </w:pPr>
      <w:r>
        <w:t>In instances where the participant is a child or where the participant has diminished decision-making capacity,</w:t>
      </w:r>
      <w:r>
        <w:rPr>
          <w:spacing w:val="-4"/>
        </w:rPr>
        <w:t xml:space="preserve"> </w:t>
      </w:r>
      <w:r>
        <w:t>the</w:t>
      </w:r>
      <w:r>
        <w:rPr>
          <w:spacing w:val="-2"/>
        </w:rPr>
        <w:t xml:space="preserve"> </w:t>
      </w:r>
      <w:r>
        <w:t>RIRC</w:t>
      </w:r>
      <w:r>
        <w:rPr>
          <w:spacing w:val="-4"/>
        </w:rPr>
        <w:t xml:space="preserve"> </w:t>
      </w:r>
      <w:r>
        <w:t>must</w:t>
      </w:r>
      <w:r>
        <w:rPr>
          <w:spacing w:val="-2"/>
        </w:rPr>
        <w:t xml:space="preserve"> </w:t>
      </w:r>
      <w:r>
        <w:t>find</w:t>
      </w:r>
      <w:r>
        <w:rPr>
          <w:spacing w:val="-5"/>
        </w:rPr>
        <w:t xml:space="preserve"> </w:t>
      </w:r>
      <w:r>
        <w:t>that</w:t>
      </w:r>
      <w:r>
        <w:rPr>
          <w:spacing w:val="-2"/>
        </w:rPr>
        <w:t xml:space="preserve"> </w:t>
      </w:r>
      <w:r>
        <w:t>adequate</w:t>
      </w:r>
      <w:r>
        <w:rPr>
          <w:spacing w:val="-2"/>
        </w:rPr>
        <w:t xml:space="preserve"> </w:t>
      </w:r>
      <w:r>
        <w:t>provisions</w:t>
      </w:r>
      <w:r>
        <w:rPr>
          <w:spacing w:val="-2"/>
        </w:rPr>
        <w:t xml:space="preserve"> </w:t>
      </w:r>
      <w:r>
        <w:t>are</w:t>
      </w:r>
      <w:r>
        <w:rPr>
          <w:spacing w:val="-2"/>
        </w:rPr>
        <w:t xml:space="preserve"> </w:t>
      </w:r>
      <w:r>
        <w:t>made</w:t>
      </w:r>
      <w:r>
        <w:rPr>
          <w:spacing w:val="-2"/>
        </w:rPr>
        <w:t xml:space="preserve"> </w:t>
      </w:r>
      <w:r>
        <w:t>for</w:t>
      </w:r>
      <w:r>
        <w:rPr>
          <w:spacing w:val="-2"/>
        </w:rPr>
        <w:t xml:space="preserve"> </w:t>
      </w:r>
      <w:r>
        <w:t>soliciting</w:t>
      </w:r>
      <w:r>
        <w:rPr>
          <w:spacing w:val="-3"/>
        </w:rPr>
        <w:t xml:space="preserve"> </w:t>
      </w:r>
      <w:r>
        <w:t>the</w:t>
      </w:r>
      <w:r>
        <w:rPr>
          <w:spacing w:val="-2"/>
        </w:rPr>
        <w:t xml:space="preserve"> </w:t>
      </w:r>
      <w:r>
        <w:t>assent</w:t>
      </w:r>
      <w:r>
        <w:rPr>
          <w:spacing w:val="-4"/>
        </w:rPr>
        <w:t xml:space="preserve"> </w:t>
      </w:r>
      <w:r>
        <w:t>of</w:t>
      </w:r>
      <w:r>
        <w:rPr>
          <w:spacing w:val="-2"/>
        </w:rPr>
        <w:t xml:space="preserve"> </w:t>
      </w:r>
      <w:r>
        <w:t>the</w:t>
      </w:r>
      <w:r>
        <w:rPr>
          <w:spacing w:val="-2"/>
        </w:rPr>
        <w:t xml:space="preserve"> </w:t>
      </w:r>
      <w:r>
        <w:t>participant, when in the judgment of the RIRC the participant is capable of providing assent.</w:t>
      </w:r>
    </w:p>
    <w:p w14:paraId="0C5E2D55" w14:textId="77777777" w:rsidR="005D0E6F" w:rsidRDefault="005D0E6F">
      <w:pPr>
        <w:pStyle w:val="BodyText"/>
      </w:pPr>
    </w:p>
    <w:p w14:paraId="0C5E2D56" w14:textId="1F340509" w:rsidR="005D0E6F" w:rsidRDefault="00E57F28">
      <w:pPr>
        <w:pStyle w:val="BodyText"/>
        <w:spacing w:before="1"/>
        <w:ind w:left="119" w:right="136"/>
      </w:pPr>
      <w:r>
        <w:t>In</w:t>
      </w:r>
      <w:r>
        <w:rPr>
          <w:spacing w:val="-3"/>
        </w:rPr>
        <w:t xml:space="preserve"> </w:t>
      </w:r>
      <w:r>
        <w:t>determining</w:t>
      </w:r>
      <w:r>
        <w:rPr>
          <w:spacing w:val="-3"/>
        </w:rPr>
        <w:t xml:space="preserve"> </w:t>
      </w:r>
      <w:r>
        <w:t>whether</w:t>
      </w:r>
      <w:r>
        <w:rPr>
          <w:spacing w:val="-2"/>
        </w:rPr>
        <w:t xml:space="preserve"> </w:t>
      </w:r>
      <w:r>
        <w:t>participants</w:t>
      </w:r>
      <w:r>
        <w:rPr>
          <w:spacing w:val="-2"/>
        </w:rPr>
        <w:t xml:space="preserve"> </w:t>
      </w:r>
      <w:r>
        <w:t>are</w:t>
      </w:r>
      <w:r>
        <w:rPr>
          <w:spacing w:val="-4"/>
        </w:rPr>
        <w:t xml:space="preserve"> </w:t>
      </w:r>
      <w:r>
        <w:t>capable</w:t>
      </w:r>
      <w:r>
        <w:rPr>
          <w:spacing w:val="-4"/>
        </w:rPr>
        <w:t xml:space="preserve"> </w:t>
      </w:r>
      <w:r>
        <w:t>of</w:t>
      </w:r>
      <w:r>
        <w:rPr>
          <w:spacing w:val="-4"/>
        </w:rPr>
        <w:t xml:space="preserve"> </w:t>
      </w:r>
      <w:r>
        <w:t>assenting,</w:t>
      </w:r>
      <w:r>
        <w:rPr>
          <w:spacing w:val="-2"/>
        </w:rPr>
        <w:t xml:space="preserve"> </w:t>
      </w:r>
      <w:r>
        <w:t>the</w:t>
      </w:r>
      <w:r>
        <w:rPr>
          <w:spacing w:val="-1"/>
        </w:rPr>
        <w:t xml:space="preserve"> </w:t>
      </w:r>
      <w:r>
        <w:t>investigator</w:t>
      </w:r>
      <w:r>
        <w:rPr>
          <w:spacing w:val="-2"/>
        </w:rPr>
        <w:t xml:space="preserve"> </w:t>
      </w:r>
      <w:r>
        <w:t>and</w:t>
      </w:r>
      <w:r>
        <w:rPr>
          <w:spacing w:val="-3"/>
        </w:rPr>
        <w:t xml:space="preserve"> </w:t>
      </w:r>
      <w:r>
        <w:t>the</w:t>
      </w:r>
      <w:r>
        <w:rPr>
          <w:spacing w:val="-1"/>
        </w:rPr>
        <w:t xml:space="preserve"> </w:t>
      </w:r>
      <w:r>
        <w:t>RIRC</w:t>
      </w:r>
      <w:r>
        <w:rPr>
          <w:spacing w:val="-4"/>
        </w:rPr>
        <w:t xml:space="preserve"> </w:t>
      </w:r>
      <w:r>
        <w:t>considers</w:t>
      </w:r>
      <w:r>
        <w:rPr>
          <w:spacing w:val="-2"/>
        </w:rPr>
        <w:t xml:space="preserve"> </w:t>
      </w:r>
      <w:r>
        <w:t xml:space="preserve">the age, maturity, and psychological state of the participant involved. This judgment may be made for all participants under a particular protocol, or for each participant, as the RIRC deems appropriate. The assent of the participant is not a necessary condition for proceeding with the research if the RIRC </w:t>
      </w:r>
      <w:r>
        <w:rPr>
          <w:spacing w:val="-2"/>
        </w:rPr>
        <w:t>determines:</w:t>
      </w:r>
    </w:p>
    <w:p w14:paraId="0C5E2D57" w14:textId="77777777" w:rsidR="005D0E6F" w:rsidRDefault="00E57F28">
      <w:pPr>
        <w:pStyle w:val="ListParagraph"/>
        <w:numPr>
          <w:ilvl w:val="0"/>
          <w:numId w:val="3"/>
        </w:numPr>
        <w:tabs>
          <w:tab w:val="left" w:pos="887"/>
          <w:tab w:val="left" w:pos="890"/>
        </w:tabs>
        <w:spacing w:before="0"/>
        <w:ind w:right="530"/>
      </w:pPr>
      <w:r>
        <w:t>The</w:t>
      </w:r>
      <w:r>
        <w:rPr>
          <w:spacing w:val="-1"/>
        </w:rPr>
        <w:t xml:space="preserve"> </w:t>
      </w:r>
      <w:r>
        <w:t>capability</w:t>
      </w:r>
      <w:r>
        <w:rPr>
          <w:spacing w:val="-3"/>
        </w:rPr>
        <w:t xml:space="preserve"> </w:t>
      </w:r>
      <w:r>
        <w:t>of</w:t>
      </w:r>
      <w:r>
        <w:rPr>
          <w:spacing w:val="-2"/>
        </w:rPr>
        <w:t xml:space="preserve"> </w:t>
      </w:r>
      <w:r>
        <w:t>some</w:t>
      </w:r>
      <w:r>
        <w:rPr>
          <w:spacing w:val="-4"/>
        </w:rPr>
        <w:t xml:space="preserve"> </w:t>
      </w:r>
      <w:r>
        <w:t>or</w:t>
      </w:r>
      <w:r>
        <w:rPr>
          <w:spacing w:val="-2"/>
        </w:rPr>
        <w:t xml:space="preserve"> </w:t>
      </w:r>
      <w:r>
        <w:t>all</w:t>
      </w:r>
      <w:r>
        <w:rPr>
          <w:spacing w:val="-2"/>
        </w:rPr>
        <w:t xml:space="preserve"> </w:t>
      </w:r>
      <w:r>
        <w:t>of</w:t>
      </w:r>
      <w:r>
        <w:rPr>
          <w:spacing w:val="-2"/>
        </w:rPr>
        <w:t xml:space="preserve"> </w:t>
      </w:r>
      <w:r>
        <w:t>the</w:t>
      </w:r>
      <w:r>
        <w:rPr>
          <w:spacing w:val="-1"/>
        </w:rPr>
        <w:t xml:space="preserve"> </w:t>
      </w:r>
      <w:r>
        <w:t>participants</w:t>
      </w:r>
      <w:r>
        <w:rPr>
          <w:spacing w:val="-2"/>
        </w:rPr>
        <w:t xml:space="preserve"> </w:t>
      </w:r>
      <w:r>
        <w:t>is</w:t>
      </w:r>
      <w:r>
        <w:rPr>
          <w:spacing w:val="-2"/>
        </w:rPr>
        <w:t xml:space="preserve"> </w:t>
      </w:r>
      <w:r>
        <w:t>so</w:t>
      </w:r>
      <w:r>
        <w:rPr>
          <w:spacing w:val="-1"/>
        </w:rPr>
        <w:t xml:space="preserve"> </w:t>
      </w:r>
      <w:r>
        <w:t>limited</w:t>
      </w:r>
      <w:r>
        <w:rPr>
          <w:spacing w:val="-5"/>
        </w:rPr>
        <w:t xml:space="preserve"> </w:t>
      </w:r>
      <w:r>
        <w:t>that</w:t>
      </w:r>
      <w:r>
        <w:rPr>
          <w:spacing w:val="-4"/>
        </w:rPr>
        <w:t xml:space="preserve"> </w:t>
      </w:r>
      <w:r>
        <w:t>they</w:t>
      </w:r>
      <w:r>
        <w:rPr>
          <w:spacing w:val="-3"/>
        </w:rPr>
        <w:t xml:space="preserve"> </w:t>
      </w:r>
      <w:r>
        <w:t>cannot</w:t>
      </w:r>
      <w:r>
        <w:rPr>
          <w:spacing w:val="-1"/>
        </w:rPr>
        <w:t xml:space="preserve"> </w:t>
      </w:r>
      <w:r>
        <w:t>reasonably</w:t>
      </w:r>
      <w:r>
        <w:rPr>
          <w:spacing w:val="-1"/>
        </w:rPr>
        <w:t xml:space="preserve"> </w:t>
      </w:r>
      <w:r>
        <w:t xml:space="preserve">be </w:t>
      </w:r>
      <w:r>
        <w:rPr>
          <w:spacing w:val="-2"/>
        </w:rPr>
        <w:t>consulted;</w:t>
      </w:r>
    </w:p>
    <w:p w14:paraId="0C5E2D58" w14:textId="77777777" w:rsidR="005D0E6F" w:rsidRDefault="00E57F28">
      <w:pPr>
        <w:pStyle w:val="ListParagraph"/>
        <w:numPr>
          <w:ilvl w:val="0"/>
          <w:numId w:val="3"/>
        </w:numPr>
        <w:tabs>
          <w:tab w:val="left" w:pos="887"/>
          <w:tab w:val="left" w:pos="889"/>
        </w:tabs>
        <w:spacing w:before="0"/>
        <w:ind w:left="889" w:right="415" w:hanging="360"/>
      </w:pPr>
      <w:r>
        <w:t>The</w:t>
      </w:r>
      <w:r>
        <w:rPr>
          <w:spacing w:val="-2"/>
        </w:rPr>
        <w:t xml:space="preserve"> </w:t>
      </w:r>
      <w:r>
        <w:t>intervention</w:t>
      </w:r>
      <w:r>
        <w:rPr>
          <w:spacing w:val="-5"/>
        </w:rPr>
        <w:t xml:space="preserve"> </w:t>
      </w:r>
      <w:r>
        <w:t>or</w:t>
      </w:r>
      <w:r>
        <w:rPr>
          <w:spacing w:val="-3"/>
        </w:rPr>
        <w:t xml:space="preserve"> </w:t>
      </w:r>
      <w:r>
        <w:t>procedure</w:t>
      </w:r>
      <w:r>
        <w:rPr>
          <w:spacing w:val="-2"/>
        </w:rPr>
        <w:t xml:space="preserve"> </w:t>
      </w:r>
      <w:r>
        <w:t>involved</w:t>
      </w:r>
      <w:r>
        <w:rPr>
          <w:spacing w:val="-4"/>
        </w:rPr>
        <w:t xml:space="preserve"> </w:t>
      </w:r>
      <w:r>
        <w:t>in</w:t>
      </w:r>
      <w:r>
        <w:rPr>
          <w:spacing w:val="-4"/>
        </w:rPr>
        <w:t xml:space="preserve"> </w:t>
      </w:r>
      <w:r>
        <w:t>the</w:t>
      </w:r>
      <w:r>
        <w:rPr>
          <w:spacing w:val="-5"/>
        </w:rPr>
        <w:t xml:space="preserve"> </w:t>
      </w:r>
      <w:r>
        <w:t>research</w:t>
      </w:r>
      <w:r>
        <w:rPr>
          <w:spacing w:val="-4"/>
        </w:rPr>
        <w:t xml:space="preserve"> </w:t>
      </w:r>
      <w:r>
        <w:t>holds</w:t>
      </w:r>
      <w:r>
        <w:rPr>
          <w:spacing w:val="-3"/>
        </w:rPr>
        <w:t xml:space="preserve"> </w:t>
      </w:r>
      <w:r>
        <w:t>out</w:t>
      </w:r>
      <w:r>
        <w:rPr>
          <w:spacing w:val="-2"/>
        </w:rPr>
        <w:t xml:space="preserve"> </w:t>
      </w:r>
      <w:r>
        <w:t>a</w:t>
      </w:r>
      <w:r>
        <w:rPr>
          <w:spacing w:val="-3"/>
        </w:rPr>
        <w:t xml:space="preserve"> </w:t>
      </w:r>
      <w:r>
        <w:t>prospect</w:t>
      </w:r>
      <w:r>
        <w:rPr>
          <w:spacing w:val="-5"/>
        </w:rPr>
        <w:t xml:space="preserve"> </w:t>
      </w:r>
      <w:r>
        <w:t>of</w:t>
      </w:r>
      <w:r>
        <w:rPr>
          <w:spacing w:val="-3"/>
        </w:rPr>
        <w:t xml:space="preserve"> </w:t>
      </w:r>
      <w:r>
        <w:t>direct</w:t>
      </w:r>
      <w:r>
        <w:rPr>
          <w:spacing w:val="-2"/>
        </w:rPr>
        <w:t xml:space="preserve"> </w:t>
      </w:r>
      <w:r>
        <w:t>benefit that is important to the health or well-being of the participant and is available only in the context of the research;</w:t>
      </w:r>
    </w:p>
    <w:p w14:paraId="4F32F903" w14:textId="77777777" w:rsidR="005D0E6F" w:rsidRDefault="005D0E6F">
      <w:pPr>
        <w:jc w:val="center"/>
        <w:rPr>
          <w:sz w:val="16"/>
        </w:rPr>
      </w:pPr>
    </w:p>
    <w:p w14:paraId="0C5E2D5C" w14:textId="77777777" w:rsidR="005D0E6F" w:rsidRDefault="00E57F28">
      <w:pPr>
        <w:pStyle w:val="ListParagraph"/>
        <w:numPr>
          <w:ilvl w:val="0"/>
          <w:numId w:val="3"/>
        </w:numPr>
        <w:tabs>
          <w:tab w:val="left" w:pos="887"/>
          <w:tab w:val="left" w:pos="890"/>
        </w:tabs>
        <w:spacing w:before="46"/>
        <w:ind w:right="283"/>
      </w:pPr>
      <w:r>
        <w:t>The</w:t>
      </w:r>
      <w:r>
        <w:rPr>
          <w:spacing w:val="-1"/>
        </w:rPr>
        <w:t xml:space="preserve"> </w:t>
      </w:r>
      <w:r>
        <w:t>research</w:t>
      </w:r>
      <w:r>
        <w:rPr>
          <w:spacing w:val="-5"/>
        </w:rPr>
        <w:t xml:space="preserve"> </w:t>
      </w:r>
      <w:r>
        <w:t>meets</w:t>
      </w:r>
      <w:r>
        <w:rPr>
          <w:spacing w:val="-4"/>
        </w:rPr>
        <w:t xml:space="preserve"> </w:t>
      </w:r>
      <w:r>
        <w:t>the</w:t>
      </w:r>
      <w:r>
        <w:rPr>
          <w:spacing w:val="-1"/>
        </w:rPr>
        <w:t xml:space="preserve"> </w:t>
      </w:r>
      <w:r>
        <w:t>same</w:t>
      </w:r>
      <w:r>
        <w:rPr>
          <w:spacing w:val="-4"/>
        </w:rPr>
        <w:t xml:space="preserve"> </w:t>
      </w:r>
      <w:r>
        <w:t>conditions</w:t>
      </w:r>
      <w:r>
        <w:rPr>
          <w:spacing w:val="-2"/>
        </w:rPr>
        <w:t xml:space="preserve"> </w:t>
      </w:r>
      <w:r>
        <w:t>as</w:t>
      </w:r>
      <w:r>
        <w:rPr>
          <w:spacing w:val="-4"/>
        </w:rPr>
        <w:t xml:space="preserve"> </w:t>
      </w:r>
      <w:r>
        <w:t>those</w:t>
      </w:r>
      <w:r>
        <w:rPr>
          <w:spacing w:val="-1"/>
        </w:rPr>
        <w:t xml:space="preserve"> </w:t>
      </w:r>
      <w:r>
        <w:t>for</w:t>
      </w:r>
      <w:r>
        <w:rPr>
          <w:spacing w:val="-4"/>
        </w:rPr>
        <w:t xml:space="preserve"> </w:t>
      </w:r>
      <w:r>
        <w:t>waiver</w:t>
      </w:r>
      <w:r>
        <w:rPr>
          <w:spacing w:val="-2"/>
        </w:rPr>
        <w:t xml:space="preserve"> </w:t>
      </w:r>
      <w:r>
        <w:t>or</w:t>
      </w:r>
      <w:r>
        <w:rPr>
          <w:spacing w:val="-2"/>
        </w:rPr>
        <w:t xml:space="preserve"> </w:t>
      </w:r>
      <w:r>
        <w:t>alteration</w:t>
      </w:r>
      <w:r>
        <w:rPr>
          <w:spacing w:val="-3"/>
        </w:rPr>
        <w:t xml:space="preserve"> </w:t>
      </w:r>
      <w:r>
        <w:t>of</w:t>
      </w:r>
      <w:r>
        <w:rPr>
          <w:spacing w:val="-4"/>
        </w:rPr>
        <w:t xml:space="preserve"> </w:t>
      </w:r>
      <w:r>
        <w:t>informed</w:t>
      </w:r>
      <w:r>
        <w:rPr>
          <w:spacing w:val="-5"/>
        </w:rPr>
        <w:t xml:space="preserve"> </w:t>
      </w:r>
      <w:r>
        <w:t>consent in research (see SOP 703: Waiver or Alteration of Informed Consent).</w:t>
      </w:r>
    </w:p>
    <w:p w14:paraId="0C5E2D5D" w14:textId="136E7D1C" w:rsidR="005D0E6F" w:rsidRDefault="00E57F28">
      <w:pPr>
        <w:pStyle w:val="BodyText"/>
        <w:spacing w:before="267"/>
        <w:ind w:left="119" w:right="136"/>
      </w:pPr>
      <w:r>
        <w:t>Informed consent is an on-going process throughout the duration of a research project.</w:t>
      </w:r>
      <w:r>
        <w:rPr>
          <w:spacing w:val="40"/>
        </w:rPr>
        <w:t xml:space="preserve"> </w:t>
      </w:r>
      <w:r>
        <w:t>When a child who was enrolled in research with parental/guardian permission subsequently reaches the legal age of consent to the procedures involved in ongoing research, the investigator should seek and obtain legally effective</w:t>
      </w:r>
      <w:r>
        <w:rPr>
          <w:spacing w:val="-4"/>
        </w:rPr>
        <w:t xml:space="preserve"> </w:t>
      </w:r>
      <w:r>
        <w:t>informed</w:t>
      </w:r>
      <w:r>
        <w:rPr>
          <w:spacing w:val="-5"/>
        </w:rPr>
        <w:t xml:space="preserve"> </w:t>
      </w:r>
      <w:r>
        <w:t>consent,</w:t>
      </w:r>
      <w:r>
        <w:rPr>
          <w:spacing w:val="-2"/>
        </w:rPr>
        <w:t xml:space="preserve"> </w:t>
      </w:r>
      <w:r>
        <w:t>as</w:t>
      </w:r>
      <w:r>
        <w:rPr>
          <w:spacing w:val="-2"/>
        </w:rPr>
        <w:t xml:space="preserve"> </w:t>
      </w:r>
      <w:r>
        <w:t>described</w:t>
      </w:r>
      <w:r>
        <w:rPr>
          <w:spacing w:val="-3"/>
        </w:rPr>
        <w:t xml:space="preserve"> </w:t>
      </w:r>
      <w:r>
        <w:t>in</w:t>
      </w:r>
      <w:r>
        <w:rPr>
          <w:spacing w:val="-3"/>
        </w:rPr>
        <w:t xml:space="preserve"> </w:t>
      </w:r>
      <w:r>
        <w:t>SOP</w:t>
      </w:r>
      <w:r>
        <w:rPr>
          <w:spacing w:val="-3"/>
        </w:rPr>
        <w:t xml:space="preserve"> </w:t>
      </w:r>
      <w:r>
        <w:t>701:</w:t>
      </w:r>
      <w:r>
        <w:rPr>
          <w:spacing w:val="-3"/>
        </w:rPr>
        <w:t xml:space="preserve"> </w:t>
      </w:r>
      <w:r>
        <w:t>General</w:t>
      </w:r>
      <w:r>
        <w:rPr>
          <w:spacing w:val="-2"/>
        </w:rPr>
        <w:t xml:space="preserve"> </w:t>
      </w:r>
      <w:r>
        <w:t>Requirements</w:t>
      </w:r>
      <w:r>
        <w:rPr>
          <w:spacing w:val="-4"/>
        </w:rPr>
        <w:t xml:space="preserve"> </w:t>
      </w:r>
      <w:r>
        <w:t>of</w:t>
      </w:r>
      <w:r>
        <w:rPr>
          <w:spacing w:val="-2"/>
        </w:rPr>
        <w:t xml:space="preserve"> </w:t>
      </w:r>
      <w:r>
        <w:t>Informed</w:t>
      </w:r>
      <w:r>
        <w:rPr>
          <w:spacing w:val="-3"/>
        </w:rPr>
        <w:t xml:space="preserve"> </w:t>
      </w:r>
      <w:r>
        <w:t>Consent</w:t>
      </w:r>
      <w:r>
        <w:rPr>
          <w:spacing w:val="-1"/>
        </w:rPr>
        <w:t xml:space="preserve"> </w:t>
      </w:r>
      <w:r>
        <w:t>for</w:t>
      </w:r>
      <w:r>
        <w:rPr>
          <w:spacing w:val="-4"/>
        </w:rPr>
        <w:t xml:space="preserve"> </w:t>
      </w:r>
      <w:r>
        <w:t xml:space="preserve">the now-adult participant for any ongoing interactions or interventions with the participants unless the RIRC determines that the requirements for obtaining informed consent can be waived. Prior parental permission and child assent are not equivalent to legally effective informed consent for the now-adult </w:t>
      </w:r>
      <w:r>
        <w:rPr>
          <w:spacing w:val="-2"/>
        </w:rPr>
        <w:t>participant.</w:t>
      </w:r>
    </w:p>
    <w:p w14:paraId="0C5E2D5E" w14:textId="0D5AD96C" w:rsidR="005D0E6F" w:rsidRDefault="00E57F28">
      <w:pPr>
        <w:pStyle w:val="BodyText"/>
        <w:spacing w:before="267"/>
        <w:ind w:left="119"/>
      </w:pPr>
      <w:r>
        <w:t>The</w:t>
      </w:r>
      <w:r>
        <w:rPr>
          <w:spacing w:val="-6"/>
        </w:rPr>
        <w:t xml:space="preserve"> </w:t>
      </w:r>
      <w:r>
        <w:t>RIRC</w:t>
      </w:r>
      <w:r>
        <w:rPr>
          <w:spacing w:val="-4"/>
        </w:rPr>
        <w:t xml:space="preserve"> </w:t>
      </w:r>
      <w:r>
        <w:t>has</w:t>
      </w:r>
      <w:r>
        <w:rPr>
          <w:spacing w:val="-5"/>
        </w:rPr>
        <w:t xml:space="preserve"> </w:t>
      </w:r>
      <w:r>
        <w:t>the</w:t>
      </w:r>
      <w:r>
        <w:rPr>
          <w:spacing w:val="-4"/>
        </w:rPr>
        <w:t xml:space="preserve"> </w:t>
      </w:r>
      <w:r>
        <w:t>discretion</w:t>
      </w:r>
      <w:r>
        <w:rPr>
          <w:spacing w:val="-4"/>
        </w:rPr>
        <w:t xml:space="preserve"> </w:t>
      </w:r>
      <w:r>
        <w:t>to</w:t>
      </w:r>
      <w:r>
        <w:rPr>
          <w:spacing w:val="-4"/>
        </w:rPr>
        <w:t xml:space="preserve"> </w:t>
      </w:r>
      <w:r>
        <w:t>determine</w:t>
      </w:r>
      <w:r>
        <w:rPr>
          <w:spacing w:val="-3"/>
        </w:rPr>
        <w:t xml:space="preserve"> </w:t>
      </w:r>
      <w:r>
        <w:t>the</w:t>
      </w:r>
      <w:r>
        <w:rPr>
          <w:spacing w:val="-3"/>
        </w:rPr>
        <w:t xml:space="preserve"> </w:t>
      </w:r>
      <w:r>
        <w:t>appropriate</w:t>
      </w:r>
      <w:r>
        <w:rPr>
          <w:spacing w:val="-3"/>
        </w:rPr>
        <w:t xml:space="preserve"> </w:t>
      </w:r>
      <w:r>
        <w:t>manner,</w:t>
      </w:r>
      <w:r>
        <w:rPr>
          <w:spacing w:val="-4"/>
        </w:rPr>
        <w:t xml:space="preserve"> </w:t>
      </w:r>
      <w:r>
        <w:t>if</w:t>
      </w:r>
      <w:r>
        <w:rPr>
          <w:spacing w:val="-4"/>
        </w:rPr>
        <w:t xml:space="preserve"> </w:t>
      </w:r>
      <w:r>
        <w:t>any,</w:t>
      </w:r>
      <w:r>
        <w:rPr>
          <w:spacing w:val="-6"/>
        </w:rPr>
        <w:t xml:space="preserve"> </w:t>
      </w:r>
      <w:r>
        <w:t>of</w:t>
      </w:r>
      <w:r>
        <w:rPr>
          <w:spacing w:val="-4"/>
        </w:rPr>
        <w:t xml:space="preserve"> </w:t>
      </w:r>
      <w:r>
        <w:t>documenting</w:t>
      </w:r>
      <w:r>
        <w:rPr>
          <w:spacing w:val="-5"/>
        </w:rPr>
        <w:t xml:space="preserve"> </w:t>
      </w:r>
      <w:r>
        <w:t>child</w:t>
      </w:r>
      <w:r>
        <w:rPr>
          <w:spacing w:val="-4"/>
        </w:rPr>
        <w:t xml:space="preserve"> </w:t>
      </w:r>
      <w:r>
        <w:rPr>
          <w:spacing w:val="-2"/>
        </w:rPr>
        <w:t>assent.</w:t>
      </w:r>
    </w:p>
    <w:p w14:paraId="0C5E2D5F" w14:textId="77777777" w:rsidR="005D0E6F" w:rsidRDefault="005D0E6F">
      <w:pPr>
        <w:pStyle w:val="BodyText"/>
        <w:spacing w:before="1"/>
      </w:pPr>
    </w:p>
    <w:p w14:paraId="0C5E2D60" w14:textId="358D3DD7" w:rsidR="005D0E6F" w:rsidRDefault="00E57F28">
      <w:pPr>
        <w:pStyle w:val="BodyText"/>
        <w:ind w:left="119"/>
      </w:pPr>
      <w:r>
        <w:t>For</w:t>
      </w:r>
      <w:r>
        <w:rPr>
          <w:spacing w:val="-2"/>
        </w:rPr>
        <w:t xml:space="preserve"> </w:t>
      </w:r>
      <w:r>
        <w:t>those</w:t>
      </w:r>
      <w:r>
        <w:rPr>
          <w:spacing w:val="-1"/>
        </w:rPr>
        <w:t xml:space="preserve"> </w:t>
      </w:r>
      <w:r>
        <w:t>participants</w:t>
      </w:r>
      <w:r>
        <w:rPr>
          <w:spacing w:val="-4"/>
        </w:rPr>
        <w:t xml:space="preserve"> </w:t>
      </w:r>
      <w:r>
        <w:t>who</w:t>
      </w:r>
      <w:r>
        <w:rPr>
          <w:spacing w:val="-5"/>
        </w:rPr>
        <w:t xml:space="preserve"> </w:t>
      </w:r>
      <w:r>
        <w:t>may</w:t>
      </w:r>
      <w:r>
        <w:rPr>
          <w:spacing w:val="-3"/>
        </w:rPr>
        <w:t xml:space="preserve"> </w:t>
      </w:r>
      <w:r>
        <w:t>recover</w:t>
      </w:r>
      <w:r>
        <w:rPr>
          <w:spacing w:val="-2"/>
        </w:rPr>
        <w:t xml:space="preserve"> </w:t>
      </w:r>
      <w:r>
        <w:t>an</w:t>
      </w:r>
      <w:r>
        <w:rPr>
          <w:spacing w:val="-5"/>
        </w:rPr>
        <w:t xml:space="preserve"> </w:t>
      </w:r>
      <w:r>
        <w:t>adequate</w:t>
      </w:r>
      <w:r>
        <w:rPr>
          <w:spacing w:val="-4"/>
        </w:rPr>
        <w:t xml:space="preserve"> </w:t>
      </w:r>
      <w:r>
        <w:t>amount</w:t>
      </w:r>
      <w:r>
        <w:rPr>
          <w:spacing w:val="-4"/>
        </w:rPr>
        <w:t xml:space="preserve"> </w:t>
      </w:r>
      <w:r>
        <w:t>of</w:t>
      </w:r>
      <w:r>
        <w:rPr>
          <w:spacing w:val="-4"/>
        </w:rPr>
        <w:t xml:space="preserve"> </w:t>
      </w:r>
      <w:r>
        <w:t>decision-making</w:t>
      </w:r>
      <w:r>
        <w:rPr>
          <w:spacing w:val="-5"/>
        </w:rPr>
        <w:t xml:space="preserve"> </w:t>
      </w:r>
      <w:r>
        <w:t>capacity</w:t>
      </w:r>
      <w:r>
        <w:rPr>
          <w:spacing w:val="-3"/>
        </w:rPr>
        <w:t xml:space="preserve"> </w:t>
      </w:r>
      <w:r>
        <w:t>during</w:t>
      </w:r>
      <w:r>
        <w:rPr>
          <w:spacing w:val="-3"/>
        </w:rPr>
        <w:t xml:space="preserve"> </w:t>
      </w:r>
      <w:r>
        <w:t>the course of the study, the RIRC will consider plans to obtain full informed consent from the participant.</w:t>
      </w:r>
    </w:p>
    <w:p w14:paraId="0C5E2D61" w14:textId="77777777" w:rsidR="005D0E6F" w:rsidRDefault="005D0E6F">
      <w:pPr>
        <w:pStyle w:val="BodyText"/>
      </w:pPr>
    </w:p>
    <w:p w14:paraId="0C5E2D62" w14:textId="77777777" w:rsidR="005D0E6F" w:rsidRDefault="00E57F28">
      <w:pPr>
        <w:pStyle w:val="Heading1"/>
      </w:pPr>
      <w:r>
        <w:rPr>
          <w:spacing w:val="-2"/>
        </w:rPr>
        <w:t>PROCEDURES</w:t>
      </w:r>
    </w:p>
    <w:p w14:paraId="0C5E2D63" w14:textId="77777777" w:rsidR="005D0E6F" w:rsidRDefault="005D0E6F">
      <w:pPr>
        <w:pStyle w:val="BodyText"/>
        <w:rPr>
          <w:b/>
        </w:rPr>
      </w:pPr>
    </w:p>
    <w:p w14:paraId="1A26E3B0" w14:textId="7801F95A" w:rsidR="00E0546B" w:rsidRDefault="00E0546B">
      <w:pPr>
        <w:pStyle w:val="BodyText"/>
      </w:pPr>
      <w:r>
        <w:t>The assent form should be brief and study specific containing language that is appropriate for the child/participant’s maturity, capacity and/or age.</w:t>
      </w:r>
    </w:p>
    <w:p w14:paraId="1B42A0AA" w14:textId="77777777" w:rsidR="00E0546B" w:rsidRDefault="00E0546B">
      <w:pPr>
        <w:pStyle w:val="BodyText"/>
        <w:rPr>
          <w:b/>
        </w:rPr>
      </w:pPr>
    </w:p>
    <w:p w14:paraId="0C5E2D64" w14:textId="77777777" w:rsidR="005D0E6F" w:rsidRDefault="00E57F28">
      <w:pPr>
        <w:pStyle w:val="ListParagraph"/>
        <w:numPr>
          <w:ilvl w:val="0"/>
          <w:numId w:val="2"/>
        </w:numPr>
        <w:tabs>
          <w:tab w:val="left" w:pos="477"/>
        </w:tabs>
        <w:spacing w:before="1"/>
        <w:ind w:left="477" w:hanging="358"/>
        <w:rPr>
          <w:b/>
        </w:rPr>
      </w:pPr>
      <w:r>
        <w:rPr>
          <w:b/>
        </w:rPr>
        <w:t>Assent</w:t>
      </w:r>
      <w:r>
        <w:rPr>
          <w:b/>
          <w:spacing w:val="-3"/>
        </w:rPr>
        <w:t xml:space="preserve"> </w:t>
      </w:r>
      <w:r>
        <w:rPr>
          <w:b/>
        </w:rPr>
        <w:t>for</w:t>
      </w:r>
      <w:r>
        <w:rPr>
          <w:b/>
          <w:spacing w:val="-2"/>
        </w:rPr>
        <w:t xml:space="preserve"> Children</w:t>
      </w:r>
    </w:p>
    <w:p w14:paraId="0C5E2D65" w14:textId="7DA2C300" w:rsidR="005D0E6F" w:rsidRDefault="00E57F28">
      <w:pPr>
        <w:pStyle w:val="ListParagraph"/>
        <w:numPr>
          <w:ilvl w:val="1"/>
          <w:numId w:val="2"/>
        </w:numPr>
        <w:tabs>
          <w:tab w:val="left" w:pos="907"/>
          <w:tab w:val="left" w:pos="911"/>
        </w:tabs>
        <w:ind w:right="143"/>
      </w:pPr>
      <w:r>
        <w:t>If children capable of some degree of understanding (generally, age seven or older) are involved</w:t>
      </w:r>
      <w:r>
        <w:rPr>
          <w:spacing w:val="-3"/>
        </w:rPr>
        <w:t xml:space="preserve"> </w:t>
      </w:r>
      <w:r>
        <w:t>in</w:t>
      </w:r>
      <w:r>
        <w:rPr>
          <w:spacing w:val="-3"/>
        </w:rPr>
        <w:t xml:space="preserve"> </w:t>
      </w:r>
      <w:r>
        <w:t>a</w:t>
      </w:r>
      <w:r>
        <w:rPr>
          <w:spacing w:val="-4"/>
        </w:rPr>
        <w:t xml:space="preserve"> </w:t>
      </w:r>
      <w:r>
        <w:t>proposed</w:t>
      </w:r>
      <w:r>
        <w:rPr>
          <w:spacing w:val="-3"/>
        </w:rPr>
        <w:t xml:space="preserve"> </w:t>
      </w:r>
      <w:r>
        <w:t>study,</w:t>
      </w:r>
      <w:r>
        <w:rPr>
          <w:spacing w:val="-2"/>
        </w:rPr>
        <w:t xml:space="preserve"> </w:t>
      </w:r>
      <w:r>
        <w:t>investigators</w:t>
      </w:r>
      <w:r>
        <w:rPr>
          <w:spacing w:val="-4"/>
        </w:rPr>
        <w:t xml:space="preserve"> </w:t>
      </w:r>
      <w:r>
        <w:t>must</w:t>
      </w:r>
      <w:r>
        <w:rPr>
          <w:spacing w:val="-4"/>
        </w:rPr>
        <w:t xml:space="preserve"> </w:t>
      </w:r>
      <w:r>
        <w:t>provide</w:t>
      </w:r>
      <w:r>
        <w:rPr>
          <w:spacing w:val="-1"/>
        </w:rPr>
        <w:t xml:space="preserve"> </w:t>
      </w:r>
      <w:r>
        <w:t>the</w:t>
      </w:r>
      <w:r>
        <w:rPr>
          <w:spacing w:val="-1"/>
        </w:rPr>
        <w:t xml:space="preserve"> </w:t>
      </w:r>
      <w:r>
        <w:t>RIRC</w:t>
      </w:r>
      <w:r>
        <w:rPr>
          <w:spacing w:val="-2"/>
        </w:rPr>
        <w:t xml:space="preserve"> </w:t>
      </w:r>
      <w:r>
        <w:t>with</w:t>
      </w:r>
      <w:r>
        <w:rPr>
          <w:spacing w:val="-3"/>
        </w:rPr>
        <w:t xml:space="preserve"> </w:t>
      </w:r>
      <w:r>
        <w:t>a</w:t>
      </w:r>
      <w:r>
        <w:rPr>
          <w:spacing w:val="-2"/>
        </w:rPr>
        <w:t xml:space="preserve"> </w:t>
      </w:r>
      <w:r>
        <w:t>plan</w:t>
      </w:r>
      <w:r>
        <w:rPr>
          <w:spacing w:val="-3"/>
        </w:rPr>
        <w:t xml:space="preserve"> </w:t>
      </w:r>
      <w:r>
        <w:t>to</w:t>
      </w:r>
      <w:r>
        <w:rPr>
          <w:spacing w:val="-3"/>
        </w:rPr>
        <w:t xml:space="preserve"> </w:t>
      </w:r>
      <w:r>
        <w:t>obtain</w:t>
      </w:r>
      <w:r>
        <w:rPr>
          <w:spacing w:val="-3"/>
        </w:rPr>
        <w:t xml:space="preserve"> </w:t>
      </w:r>
      <w:r>
        <w:t>assent</w:t>
      </w:r>
      <w:r>
        <w:rPr>
          <w:spacing w:val="-3"/>
        </w:rPr>
        <w:t xml:space="preserve"> </w:t>
      </w:r>
      <w:r>
        <w:t>or justification why assent is not required.</w:t>
      </w:r>
    </w:p>
    <w:p w14:paraId="79885915" w14:textId="028653EF" w:rsidR="00E0546B" w:rsidRDefault="00E0546B" w:rsidP="00E0546B">
      <w:pPr>
        <w:pStyle w:val="ListParagraph"/>
        <w:numPr>
          <w:ilvl w:val="2"/>
          <w:numId w:val="2"/>
        </w:numPr>
        <w:tabs>
          <w:tab w:val="left" w:pos="907"/>
          <w:tab w:val="left" w:pos="911"/>
        </w:tabs>
        <w:ind w:right="143"/>
      </w:pPr>
      <w:r>
        <w:t>7-12 years of age:  A simple easy to read format of a single page is suggested.</w:t>
      </w:r>
    </w:p>
    <w:p w14:paraId="25C99210" w14:textId="0B6EFB1F" w:rsidR="00E0546B" w:rsidRDefault="00E0546B" w:rsidP="00FB0790">
      <w:pPr>
        <w:pStyle w:val="ListParagraph"/>
        <w:numPr>
          <w:ilvl w:val="2"/>
          <w:numId w:val="2"/>
        </w:numPr>
        <w:tabs>
          <w:tab w:val="left" w:pos="907"/>
          <w:tab w:val="left" w:pos="911"/>
        </w:tabs>
        <w:ind w:right="143"/>
      </w:pPr>
      <w:r>
        <w:t>13-18 years of age:  A similar format for an adult consent that contains simple language written at the appropriate educational level of the youngest prospective subject in the youth age range.</w:t>
      </w:r>
    </w:p>
    <w:p w14:paraId="0C5E2D66" w14:textId="494806F6" w:rsidR="005D0E6F" w:rsidRDefault="00E57F28">
      <w:pPr>
        <w:pStyle w:val="ListParagraph"/>
        <w:numPr>
          <w:ilvl w:val="1"/>
          <w:numId w:val="2"/>
        </w:numPr>
        <w:tabs>
          <w:tab w:val="left" w:pos="908"/>
          <w:tab w:val="left" w:pos="911"/>
        </w:tabs>
        <w:spacing w:before="238"/>
        <w:ind w:right="110" w:hanging="432"/>
      </w:pPr>
      <w:r>
        <w:t>The RIRC</w:t>
      </w:r>
      <w:r>
        <w:rPr>
          <w:spacing w:val="-1"/>
        </w:rPr>
        <w:t xml:space="preserve"> </w:t>
      </w:r>
      <w:r>
        <w:t>determines</w:t>
      </w:r>
      <w:r>
        <w:rPr>
          <w:spacing w:val="-3"/>
        </w:rPr>
        <w:t xml:space="preserve"> </w:t>
      </w:r>
      <w:r>
        <w:t>whether</w:t>
      </w:r>
      <w:r>
        <w:rPr>
          <w:spacing w:val="-1"/>
        </w:rPr>
        <w:t xml:space="preserve"> </w:t>
      </w:r>
      <w:r>
        <w:t>all,</w:t>
      </w:r>
      <w:r>
        <w:rPr>
          <w:spacing w:val="-1"/>
        </w:rPr>
        <w:t xml:space="preserve"> </w:t>
      </w:r>
      <w:r>
        <w:t>none,</w:t>
      </w:r>
      <w:r>
        <w:rPr>
          <w:spacing w:val="-3"/>
        </w:rPr>
        <w:t xml:space="preserve"> </w:t>
      </w:r>
      <w:r>
        <w:t>or</w:t>
      </w:r>
      <w:r>
        <w:rPr>
          <w:spacing w:val="-1"/>
        </w:rPr>
        <w:t xml:space="preserve"> </w:t>
      </w:r>
      <w:r>
        <w:t>some</w:t>
      </w:r>
      <w:r>
        <w:rPr>
          <w:spacing w:val="-3"/>
        </w:rPr>
        <w:t xml:space="preserve"> </w:t>
      </w:r>
      <w:r>
        <w:t>of</w:t>
      </w:r>
      <w:r>
        <w:rPr>
          <w:spacing w:val="-3"/>
        </w:rPr>
        <w:t xml:space="preserve"> </w:t>
      </w:r>
      <w:r>
        <w:t>the</w:t>
      </w:r>
      <w:r>
        <w:rPr>
          <w:spacing w:val="-3"/>
        </w:rPr>
        <w:t xml:space="preserve"> </w:t>
      </w:r>
      <w:r>
        <w:t>children</w:t>
      </w:r>
      <w:r>
        <w:rPr>
          <w:spacing w:val="-2"/>
        </w:rPr>
        <w:t xml:space="preserve"> </w:t>
      </w:r>
      <w:r>
        <w:t>are</w:t>
      </w:r>
      <w:r>
        <w:rPr>
          <w:spacing w:val="-3"/>
        </w:rPr>
        <w:t xml:space="preserve"> </w:t>
      </w:r>
      <w:r>
        <w:t>capable</w:t>
      </w:r>
      <w:r>
        <w:rPr>
          <w:spacing w:val="-3"/>
        </w:rPr>
        <w:t xml:space="preserve"> </w:t>
      </w:r>
      <w:r>
        <w:t>of</w:t>
      </w:r>
      <w:r>
        <w:rPr>
          <w:spacing w:val="-1"/>
        </w:rPr>
        <w:t xml:space="preserve"> </w:t>
      </w:r>
      <w:r>
        <w:t>assent.</w:t>
      </w:r>
      <w:r>
        <w:rPr>
          <w:spacing w:val="-1"/>
        </w:rPr>
        <w:t xml:space="preserve"> </w:t>
      </w:r>
      <w:r>
        <w:t>If</w:t>
      </w:r>
      <w:r>
        <w:rPr>
          <w:spacing w:val="-1"/>
        </w:rPr>
        <w:t xml:space="preserve"> </w:t>
      </w:r>
      <w:r>
        <w:t xml:space="preserve">assent </w:t>
      </w:r>
      <w:r>
        <w:lastRenderedPageBreak/>
        <w:t xml:space="preserve">is not required for some or all of the children, justification may be documented in </w:t>
      </w:r>
      <w:proofErr w:type="gramStart"/>
      <w:r>
        <w:t>the</w:t>
      </w:r>
      <w:r>
        <w:rPr>
          <w:spacing w:val="40"/>
        </w:rPr>
        <w:t xml:space="preserve"> </w:t>
      </w:r>
      <w:r w:rsidR="001E091A">
        <w:t xml:space="preserve"> RIRC</w:t>
      </w:r>
      <w:proofErr w:type="gramEnd"/>
      <w:r w:rsidR="001E091A">
        <w:t xml:space="preserve"> minutes.</w:t>
      </w:r>
    </w:p>
    <w:p w14:paraId="0C5E2D67" w14:textId="4C598F99" w:rsidR="005D0E6F" w:rsidRDefault="00E57F28">
      <w:pPr>
        <w:pStyle w:val="ListParagraph"/>
        <w:numPr>
          <w:ilvl w:val="1"/>
          <w:numId w:val="2"/>
        </w:numPr>
        <w:tabs>
          <w:tab w:val="left" w:pos="908"/>
          <w:tab w:val="left" w:pos="911"/>
        </w:tabs>
        <w:ind w:right="342" w:hanging="432"/>
      </w:pPr>
      <w:r>
        <w:t>If the RIRC determines that assent is a requirement for some or all of the children, the RIRC determines</w:t>
      </w:r>
      <w:r>
        <w:rPr>
          <w:spacing w:val="-3"/>
        </w:rPr>
        <w:t xml:space="preserve"> </w:t>
      </w:r>
      <w:r>
        <w:t>and</w:t>
      </w:r>
      <w:r>
        <w:rPr>
          <w:spacing w:val="-4"/>
        </w:rPr>
        <w:t xml:space="preserve"> </w:t>
      </w:r>
      <w:r>
        <w:t>document</w:t>
      </w:r>
      <w:r w:rsidR="001E091A">
        <w:t>s</w:t>
      </w:r>
      <w:r>
        <w:rPr>
          <w:spacing w:val="-3"/>
        </w:rPr>
        <w:t xml:space="preserve"> </w:t>
      </w:r>
      <w:r>
        <w:t>in</w:t>
      </w:r>
      <w:r>
        <w:rPr>
          <w:spacing w:val="-4"/>
        </w:rPr>
        <w:t xml:space="preserve"> </w:t>
      </w:r>
      <w:r>
        <w:t>the</w:t>
      </w:r>
      <w:r>
        <w:rPr>
          <w:spacing w:val="-2"/>
        </w:rPr>
        <w:t xml:space="preserve"> </w:t>
      </w:r>
      <w:r w:rsidR="001E091A">
        <w:t>RIRC minutes</w:t>
      </w:r>
      <w:r>
        <w:rPr>
          <w:spacing w:val="-3"/>
        </w:rPr>
        <w:t xml:space="preserve"> </w:t>
      </w:r>
      <w:r>
        <w:t>whether</w:t>
      </w:r>
      <w:r>
        <w:rPr>
          <w:spacing w:val="-5"/>
        </w:rPr>
        <w:t xml:space="preserve"> </w:t>
      </w:r>
      <w:r>
        <w:t>the</w:t>
      </w:r>
      <w:r>
        <w:rPr>
          <w:spacing w:val="-2"/>
        </w:rPr>
        <w:t xml:space="preserve"> </w:t>
      </w:r>
      <w:r>
        <w:t>proposed assent process is acceptable and whether documentation of assent is required.</w:t>
      </w:r>
    </w:p>
    <w:p w14:paraId="0C5E2D68" w14:textId="77777777" w:rsidR="005D0E6F" w:rsidRDefault="00E57F28">
      <w:pPr>
        <w:pStyle w:val="Heading1"/>
        <w:numPr>
          <w:ilvl w:val="0"/>
          <w:numId w:val="2"/>
        </w:numPr>
        <w:tabs>
          <w:tab w:val="left" w:pos="477"/>
        </w:tabs>
        <w:spacing w:before="241"/>
        <w:ind w:left="477" w:hanging="358"/>
      </w:pPr>
      <w:r>
        <w:t>Assent</w:t>
      </w:r>
      <w:r>
        <w:rPr>
          <w:spacing w:val="-8"/>
        </w:rPr>
        <w:t xml:space="preserve"> </w:t>
      </w:r>
      <w:r>
        <w:t>for</w:t>
      </w:r>
      <w:r>
        <w:rPr>
          <w:spacing w:val="-6"/>
        </w:rPr>
        <w:t xml:space="preserve"> </w:t>
      </w:r>
      <w:r>
        <w:t>Participants</w:t>
      </w:r>
      <w:r>
        <w:rPr>
          <w:spacing w:val="-8"/>
        </w:rPr>
        <w:t xml:space="preserve"> </w:t>
      </w:r>
      <w:r>
        <w:t>with</w:t>
      </w:r>
      <w:r>
        <w:rPr>
          <w:spacing w:val="-7"/>
        </w:rPr>
        <w:t xml:space="preserve"> </w:t>
      </w:r>
      <w:r>
        <w:t>Diminished</w:t>
      </w:r>
      <w:r>
        <w:rPr>
          <w:spacing w:val="-7"/>
        </w:rPr>
        <w:t xml:space="preserve"> </w:t>
      </w:r>
      <w:r>
        <w:t>Decision-Making</w:t>
      </w:r>
      <w:r>
        <w:rPr>
          <w:spacing w:val="-7"/>
        </w:rPr>
        <w:t xml:space="preserve"> </w:t>
      </w:r>
      <w:r>
        <w:rPr>
          <w:spacing w:val="-2"/>
        </w:rPr>
        <w:t>Capability</w:t>
      </w:r>
    </w:p>
    <w:p w14:paraId="0C5E2D69" w14:textId="5B923835" w:rsidR="005D0E6F" w:rsidRDefault="00E57F28">
      <w:pPr>
        <w:pStyle w:val="ListParagraph"/>
        <w:numPr>
          <w:ilvl w:val="1"/>
          <w:numId w:val="1"/>
        </w:numPr>
        <w:tabs>
          <w:tab w:val="left" w:pos="908"/>
          <w:tab w:val="left" w:pos="911"/>
        </w:tabs>
        <w:ind w:right="335" w:hanging="432"/>
      </w:pPr>
      <w:r>
        <w:t>If individuals with impaired decision-making capacity are involved in a proposed study, investigators</w:t>
      </w:r>
      <w:r>
        <w:rPr>
          <w:spacing w:val="-4"/>
        </w:rPr>
        <w:t xml:space="preserve"> </w:t>
      </w:r>
      <w:r>
        <w:t>should</w:t>
      </w:r>
      <w:r>
        <w:rPr>
          <w:spacing w:val="-3"/>
        </w:rPr>
        <w:t xml:space="preserve"> </w:t>
      </w:r>
      <w:r>
        <w:t>provide</w:t>
      </w:r>
      <w:r>
        <w:rPr>
          <w:spacing w:val="-1"/>
        </w:rPr>
        <w:t xml:space="preserve"> </w:t>
      </w:r>
      <w:r>
        <w:t>the</w:t>
      </w:r>
      <w:r>
        <w:rPr>
          <w:spacing w:val="-1"/>
        </w:rPr>
        <w:t xml:space="preserve"> </w:t>
      </w:r>
      <w:r>
        <w:t>RIRC</w:t>
      </w:r>
      <w:r>
        <w:rPr>
          <w:spacing w:val="-2"/>
        </w:rPr>
        <w:t xml:space="preserve"> </w:t>
      </w:r>
      <w:r>
        <w:t>with</w:t>
      </w:r>
      <w:r>
        <w:rPr>
          <w:spacing w:val="-3"/>
        </w:rPr>
        <w:t xml:space="preserve"> </w:t>
      </w:r>
      <w:r>
        <w:t>a</w:t>
      </w:r>
      <w:r>
        <w:rPr>
          <w:spacing w:val="-2"/>
        </w:rPr>
        <w:t xml:space="preserve"> </w:t>
      </w:r>
      <w:r>
        <w:t>plan</w:t>
      </w:r>
      <w:r>
        <w:rPr>
          <w:spacing w:val="-3"/>
        </w:rPr>
        <w:t xml:space="preserve"> </w:t>
      </w:r>
      <w:r>
        <w:t>to</w:t>
      </w:r>
      <w:r>
        <w:rPr>
          <w:spacing w:val="-3"/>
        </w:rPr>
        <w:t xml:space="preserve"> </w:t>
      </w:r>
      <w:r>
        <w:t>obtain</w:t>
      </w:r>
      <w:r>
        <w:rPr>
          <w:spacing w:val="-3"/>
        </w:rPr>
        <w:t xml:space="preserve"> </w:t>
      </w:r>
      <w:r>
        <w:t>assent</w:t>
      </w:r>
      <w:r>
        <w:rPr>
          <w:spacing w:val="-4"/>
        </w:rPr>
        <w:t xml:space="preserve"> </w:t>
      </w:r>
      <w:r>
        <w:t>or</w:t>
      </w:r>
      <w:r>
        <w:rPr>
          <w:spacing w:val="-2"/>
        </w:rPr>
        <w:t xml:space="preserve"> </w:t>
      </w:r>
      <w:r>
        <w:t>justification</w:t>
      </w:r>
      <w:r>
        <w:rPr>
          <w:spacing w:val="-3"/>
        </w:rPr>
        <w:t xml:space="preserve"> </w:t>
      </w:r>
      <w:r>
        <w:t>why</w:t>
      </w:r>
      <w:r>
        <w:rPr>
          <w:spacing w:val="-1"/>
        </w:rPr>
        <w:t xml:space="preserve"> </w:t>
      </w:r>
      <w:r>
        <w:t>assent</w:t>
      </w:r>
      <w:r>
        <w:rPr>
          <w:spacing w:val="-1"/>
        </w:rPr>
        <w:t xml:space="preserve"> </w:t>
      </w:r>
      <w:r>
        <w:t>is not required.</w:t>
      </w:r>
    </w:p>
    <w:p w14:paraId="0C5E2D6A" w14:textId="0981C7CA" w:rsidR="005D0E6F" w:rsidRDefault="00E57F28">
      <w:pPr>
        <w:pStyle w:val="ListParagraph"/>
        <w:numPr>
          <w:ilvl w:val="1"/>
          <w:numId w:val="1"/>
        </w:numPr>
        <w:tabs>
          <w:tab w:val="left" w:pos="907"/>
          <w:tab w:val="left" w:pos="910"/>
        </w:tabs>
        <w:spacing w:before="238"/>
        <w:ind w:left="910" w:right="320" w:hanging="432"/>
      </w:pPr>
      <w:r>
        <w:t>The RIRC determines whether an assent process should be included along with the informed consent from a legally authorized representative (LAR). If assent is required, additional considerations</w:t>
      </w:r>
      <w:r>
        <w:rPr>
          <w:spacing w:val="-3"/>
        </w:rPr>
        <w:t xml:space="preserve"> </w:t>
      </w:r>
      <w:r>
        <w:t>are</w:t>
      </w:r>
      <w:r>
        <w:rPr>
          <w:spacing w:val="-5"/>
        </w:rPr>
        <w:t xml:space="preserve"> </w:t>
      </w:r>
      <w:r>
        <w:t>made</w:t>
      </w:r>
      <w:r>
        <w:rPr>
          <w:spacing w:val="-5"/>
        </w:rPr>
        <w:t xml:space="preserve"> </w:t>
      </w:r>
      <w:r>
        <w:t>regarding</w:t>
      </w:r>
      <w:r>
        <w:rPr>
          <w:spacing w:val="-4"/>
        </w:rPr>
        <w:t xml:space="preserve"> </w:t>
      </w:r>
      <w:r>
        <w:t>whether</w:t>
      </w:r>
      <w:r>
        <w:rPr>
          <w:spacing w:val="-3"/>
        </w:rPr>
        <w:t xml:space="preserve"> </w:t>
      </w:r>
      <w:r>
        <w:t>a</w:t>
      </w:r>
      <w:r>
        <w:rPr>
          <w:spacing w:val="-5"/>
        </w:rPr>
        <w:t xml:space="preserve"> </w:t>
      </w:r>
      <w:r>
        <w:t>re-assenting</w:t>
      </w:r>
      <w:r>
        <w:rPr>
          <w:spacing w:val="-4"/>
        </w:rPr>
        <w:t xml:space="preserve"> </w:t>
      </w:r>
      <w:r>
        <w:t>process</w:t>
      </w:r>
      <w:r>
        <w:rPr>
          <w:spacing w:val="-3"/>
        </w:rPr>
        <w:t xml:space="preserve"> </w:t>
      </w:r>
      <w:r>
        <w:t>should</w:t>
      </w:r>
      <w:r>
        <w:rPr>
          <w:spacing w:val="-4"/>
        </w:rPr>
        <w:t xml:space="preserve"> </w:t>
      </w:r>
      <w:r>
        <w:t>occur</w:t>
      </w:r>
      <w:r>
        <w:rPr>
          <w:spacing w:val="-3"/>
        </w:rPr>
        <w:t xml:space="preserve"> </w:t>
      </w:r>
      <w:r>
        <w:t>and</w:t>
      </w:r>
      <w:r>
        <w:rPr>
          <w:spacing w:val="-4"/>
        </w:rPr>
        <w:t xml:space="preserve"> </w:t>
      </w:r>
      <w:r>
        <w:t xml:space="preserve">whether obtaining full informed consent from the participant may occur should they recover an adequate amount of decision-making capacity. Determinations may be </w:t>
      </w:r>
      <w:proofErr w:type="gramStart"/>
      <w:r w:rsidR="001E091A">
        <w:t>reflect</w:t>
      </w:r>
      <w:proofErr w:type="gramEnd"/>
      <w:r w:rsidR="001E091A">
        <w:t xml:space="preserve"> in the RIRC minutes.</w:t>
      </w:r>
    </w:p>
    <w:sectPr w:rsidR="005D0E6F">
      <w:headerReference w:type="default" r:id="rId10"/>
      <w:footerReference w:type="default" r:id="rId11"/>
      <w:pgSz w:w="12240" w:h="15840"/>
      <w:pgMar w:top="182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2D74" w14:textId="77777777" w:rsidR="00AC5F66" w:rsidRDefault="00E57F28">
      <w:r>
        <w:separator/>
      </w:r>
    </w:p>
  </w:endnote>
  <w:endnote w:type="continuationSeparator" w:id="0">
    <w:p w14:paraId="0C5E2D76" w14:textId="77777777" w:rsidR="00AC5F66" w:rsidRDefault="00E5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2D6F" w14:textId="77777777" w:rsidR="005D0E6F" w:rsidRDefault="00E57F28">
    <w:pPr>
      <w:pStyle w:val="BodyText"/>
      <w:spacing w:line="14" w:lineRule="auto"/>
      <w:rPr>
        <w:sz w:val="20"/>
      </w:rPr>
    </w:pPr>
    <w:r>
      <w:rPr>
        <w:noProof/>
      </w:rPr>
      <mc:AlternateContent>
        <mc:Choice Requires="wps">
          <w:drawing>
            <wp:anchor distT="0" distB="0" distL="0" distR="0" simplePos="0" relativeHeight="487539200" behindDoc="1" locked="0" layoutInCell="1" allowOverlap="1" wp14:anchorId="0C5E2D74" wp14:editId="0C5E2D75">
              <wp:simplePos x="0" y="0"/>
              <wp:positionH relativeFrom="page">
                <wp:posOffset>901700</wp:posOffset>
              </wp:positionH>
              <wp:positionV relativeFrom="page">
                <wp:posOffset>9111106</wp:posOffset>
              </wp:positionV>
              <wp:extent cx="855344"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252729"/>
                      </a:xfrm>
                      <a:prstGeom prst="rect">
                        <a:avLst/>
                      </a:prstGeom>
                    </wps:spPr>
                    <wps:txbx>
                      <w:txbxContent>
                        <w:p w14:paraId="0C5E2D7A" w14:textId="77777777" w:rsidR="005D0E6F" w:rsidRDefault="00E57F28">
                          <w:pPr>
                            <w:spacing w:line="184" w:lineRule="exact"/>
                            <w:ind w:left="20"/>
                            <w:rPr>
                              <w:spacing w:val="-2"/>
                              <w:sz w:val="16"/>
                            </w:rPr>
                          </w:pPr>
                          <w:r>
                            <w:rPr>
                              <w:sz w:val="16"/>
                            </w:rPr>
                            <w:t>IRB</w:t>
                          </w:r>
                          <w:r>
                            <w:rPr>
                              <w:spacing w:val="-3"/>
                              <w:sz w:val="16"/>
                            </w:rPr>
                            <w:t xml:space="preserve"> </w:t>
                          </w:r>
                          <w:r>
                            <w:rPr>
                              <w:sz w:val="16"/>
                            </w:rPr>
                            <w:t>SOP</w:t>
                          </w:r>
                          <w:r>
                            <w:rPr>
                              <w:spacing w:val="-1"/>
                              <w:sz w:val="16"/>
                            </w:rPr>
                            <w:t xml:space="preserve"> </w:t>
                          </w:r>
                          <w:r>
                            <w:rPr>
                              <w:sz w:val="16"/>
                            </w:rPr>
                            <w:t>704:</w:t>
                          </w:r>
                          <w:r>
                            <w:rPr>
                              <w:spacing w:val="-3"/>
                              <w:sz w:val="16"/>
                            </w:rPr>
                            <w:t xml:space="preserve"> </w:t>
                          </w:r>
                          <w:r>
                            <w:rPr>
                              <w:spacing w:val="-2"/>
                              <w:sz w:val="16"/>
                            </w:rPr>
                            <w:t>Assent</w:t>
                          </w:r>
                        </w:p>
                        <w:p w14:paraId="00EB579E" w14:textId="298F550A" w:rsidR="00E0546B" w:rsidRDefault="00E0546B">
                          <w:pPr>
                            <w:spacing w:line="184" w:lineRule="exact"/>
                            <w:ind w:left="20"/>
                            <w:rPr>
                              <w:sz w:val="16"/>
                            </w:rPr>
                          </w:pPr>
                          <w:r>
                            <w:rPr>
                              <w:spacing w:val="-2"/>
                              <w:sz w:val="16"/>
                            </w:rPr>
                            <w:t>V</w:t>
                          </w:r>
                          <w:r w:rsidR="00EF0027">
                            <w:rPr>
                              <w:spacing w:val="-2"/>
                              <w:sz w:val="16"/>
                            </w:rPr>
                            <w:t>3-22</w:t>
                          </w:r>
                          <w:r>
                            <w:rPr>
                              <w:spacing w:val="-2"/>
                              <w:sz w:val="16"/>
                            </w:rPr>
                            <w:t>-2024</w:t>
                          </w:r>
                        </w:p>
                      </w:txbxContent>
                    </wps:txbx>
                    <wps:bodyPr wrap="square" lIns="0" tIns="0" rIns="0" bIns="0" rtlCol="0">
                      <a:noAutofit/>
                    </wps:bodyPr>
                  </wps:wsp>
                </a:graphicData>
              </a:graphic>
            </wp:anchor>
          </w:drawing>
        </mc:Choice>
        <mc:Fallback>
          <w:pict>
            <v:shapetype w14:anchorId="0C5E2D74" id="_x0000_t202" coordsize="21600,21600" o:spt="202" path="m,l,21600r21600,l21600,xe">
              <v:stroke joinstyle="miter"/>
              <v:path gradientshapeok="t" o:connecttype="rect"/>
            </v:shapetype>
            <v:shape id="Textbox 3" o:spid="_x0000_s1029" type="#_x0000_t202" style="position:absolute;margin-left:71pt;margin-top:717.4pt;width:67.35pt;height:19.9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" filled="f" stroked="f">
              <v:textbox inset="0,0,0,0">
                <w:txbxContent>
                  <w:p w14:paraId="0C5E2D7A" w14:textId="77777777" w:rsidR="005D0E6F" w:rsidRDefault="00E57F28">
                    <w:pPr>
                      <w:spacing w:line="184" w:lineRule="exact"/>
                      <w:ind w:left="20"/>
                      <w:rPr>
                        <w:spacing w:val="-2"/>
                        <w:sz w:val="16"/>
                      </w:rPr>
                    </w:pPr>
                    <w:r>
                      <w:rPr>
                        <w:sz w:val="16"/>
                      </w:rPr>
                      <w:t>IRB</w:t>
                    </w:r>
                    <w:r>
                      <w:rPr>
                        <w:spacing w:val="-3"/>
                        <w:sz w:val="16"/>
                      </w:rPr>
                      <w:t xml:space="preserve"> </w:t>
                    </w:r>
                    <w:r>
                      <w:rPr>
                        <w:sz w:val="16"/>
                      </w:rPr>
                      <w:t>SOP</w:t>
                    </w:r>
                    <w:r>
                      <w:rPr>
                        <w:spacing w:val="-1"/>
                        <w:sz w:val="16"/>
                      </w:rPr>
                      <w:t xml:space="preserve"> </w:t>
                    </w:r>
                    <w:r>
                      <w:rPr>
                        <w:sz w:val="16"/>
                      </w:rPr>
                      <w:t>704:</w:t>
                    </w:r>
                    <w:r>
                      <w:rPr>
                        <w:spacing w:val="-3"/>
                        <w:sz w:val="16"/>
                      </w:rPr>
                      <w:t xml:space="preserve"> </w:t>
                    </w:r>
                    <w:r>
                      <w:rPr>
                        <w:spacing w:val="-2"/>
                        <w:sz w:val="16"/>
                      </w:rPr>
                      <w:t>Assent</w:t>
                    </w:r>
                  </w:p>
                  <w:p w14:paraId="00EB579E" w14:textId="298F550A" w:rsidR="00E0546B" w:rsidRDefault="00E0546B">
                    <w:pPr>
                      <w:spacing w:line="184" w:lineRule="exact"/>
                      <w:ind w:left="20"/>
                      <w:rPr>
                        <w:sz w:val="16"/>
                      </w:rPr>
                    </w:pPr>
                    <w:r>
                      <w:rPr>
                        <w:spacing w:val="-2"/>
                        <w:sz w:val="16"/>
                      </w:rPr>
                      <w:t>V</w:t>
                    </w:r>
                    <w:r w:rsidR="00EF0027">
                      <w:rPr>
                        <w:spacing w:val="-2"/>
                        <w:sz w:val="16"/>
                      </w:rPr>
                      <w:t>3-22</w:t>
                    </w:r>
                    <w:r>
                      <w:rPr>
                        <w:spacing w:val="-2"/>
                        <w:sz w:val="16"/>
                      </w:rPr>
                      <w:t>-2024</w:t>
                    </w:r>
                  </w:p>
                </w:txbxContent>
              </v:textbox>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0C5E2D76" wp14:editId="0C5E2D77">
              <wp:simplePos x="0" y="0"/>
              <wp:positionH relativeFrom="page">
                <wp:posOffset>3702811</wp:posOffset>
              </wp:positionH>
              <wp:positionV relativeFrom="page">
                <wp:posOffset>9356090</wp:posOffset>
              </wp:positionV>
              <wp:extent cx="366395"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0C5E2D7C" w14:textId="77777777" w:rsidR="005D0E6F" w:rsidRDefault="00E57F28">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0C5E2D76" id="Textbox 4" o:spid="_x0000_s1030" type="#_x0000_t202" style="position:absolute;margin-left:291.55pt;margin-top:736.7pt;width:28.85pt;height:8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XPpjgKsBAABFAwAADgAAAAAAAAAAAAAAAAAuAgAAZHJzL2Uyb0RvYy54bWxQ&#10;SwECLQAUAAYACAAAACEA9XAyr+EAAAANAQAADwAAAAAAAAAAAAAAAAAFBAAAZHJzL2Rvd25yZXYu&#10;eG1sUEsFBgAAAAAEAAQA8wAAABMFAAAAAA==&#10;" filled="f" stroked="f">
              <v:textbox inset="0,0,0,0">
                <w:txbxContent>
                  <w:p w14:paraId="0C5E2D7C" w14:textId="77777777" w:rsidR="005D0E6F" w:rsidRDefault="00E57F28">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2D70" w14:textId="77777777" w:rsidR="00AC5F66" w:rsidRDefault="00E57F28">
      <w:r>
        <w:separator/>
      </w:r>
    </w:p>
  </w:footnote>
  <w:footnote w:type="continuationSeparator" w:id="0">
    <w:p w14:paraId="0C5E2D72" w14:textId="77777777" w:rsidR="00AC5F66" w:rsidRDefault="00E5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2D6E" w14:textId="18FE8062" w:rsidR="005D0E6F" w:rsidRDefault="005D0E6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A36"/>
    <w:multiLevelType w:val="hybridMultilevel"/>
    <w:tmpl w:val="710E81DA"/>
    <w:lvl w:ilvl="0" w:tplc="0602CBC4">
      <w:start w:val="1"/>
      <w:numFmt w:val="decimal"/>
      <w:lvlText w:val="%1."/>
      <w:lvlJc w:val="left"/>
      <w:pPr>
        <w:ind w:left="890" w:hanging="361"/>
        <w:jc w:val="left"/>
      </w:pPr>
      <w:rPr>
        <w:rFonts w:ascii="Calibri" w:eastAsia="Calibri" w:hAnsi="Calibri" w:cs="Calibri" w:hint="default"/>
        <w:b w:val="0"/>
        <w:bCs w:val="0"/>
        <w:i w:val="0"/>
        <w:iCs w:val="0"/>
        <w:spacing w:val="0"/>
        <w:w w:val="100"/>
        <w:sz w:val="22"/>
        <w:szCs w:val="22"/>
        <w:lang w:val="en-US" w:eastAsia="en-US" w:bidi="ar-SA"/>
      </w:rPr>
    </w:lvl>
    <w:lvl w:ilvl="1" w:tplc="CEB8255E">
      <w:numFmt w:val="bullet"/>
      <w:lvlText w:val="•"/>
      <w:lvlJc w:val="left"/>
      <w:pPr>
        <w:ind w:left="1768" w:hanging="361"/>
      </w:pPr>
      <w:rPr>
        <w:rFonts w:hint="default"/>
        <w:lang w:val="en-US" w:eastAsia="en-US" w:bidi="ar-SA"/>
      </w:rPr>
    </w:lvl>
    <w:lvl w:ilvl="2" w:tplc="D4E4B9BE">
      <w:numFmt w:val="bullet"/>
      <w:lvlText w:val="•"/>
      <w:lvlJc w:val="left"/>
      <w:pPr>
        <w:ind w:left="2636" w:hanging="361"/>
      </w:pPr>
      <w:rPr>
        <w:rFonts w:hint="default"/>
        <w:lang w:val="en-US" w:eastAsia="en-US" w:bidi="ar-SA"/>
      </w:rPr>
    </w:lvl>
    <w:lvl w:ilvl="3" w:tplc="2E6424CE">
      <w:numFmt w:val="bullet"/>
      <w:lvlText w:val="•"/>
      <w:lvlJc w:val="left"/>
      <w:pPr>
        <w:ind w:left="3504" w:hanging="361"/>
      </w:pPr>
      <w:rPr>
        <w:rFonts w:hint="default"/>
        <w:lang w:val="en-US" w:eastAsia="en-US" w:bidi="ar-SA"/>
      </w:rPr>
    </w:lvl>
    <w:lvl w:ilvl="4" w:tplc="67B4D0E2">
      <w:numFmt w:val="bullet"/>
      <w:lvlText w:val="•"/>
      <w:lvlJc w:val="left"/>
      <w:pPr>
        <w:ind w:left="4372" w:hanging="361"/>
      </w:pPr>
      <w:rPr>
        <w:rFonts w:hint="default"/>
        <w:lang w:val="en-US" w:eastAsia="en-US" w:bidi="ar-SA"/>
      </w:rPr>
    </w:lvl>
    <w:lvl w:ilvl="5" w:tplc="0D2483F4">
      <w:numFmt w:val="bullet"/>
      <w:lvlText w:val="•"/>
      <w:lvlJc w:val="left"/>
      <w:pPr>
        <w:ind w:left="5240" w:hanging="361"/>
      </w:pPr>
      <w:rPr>
        <w:rFonts w:hint="default"/>
        <w:lang w:val="en-US" w:eastAsia="en-US" w:bidi="ar-SA"/>
      </w:rPr>
    </w:lvl>
    <w:lvl w:ilvl="6" w:tplc="C4D82EC4">
      <w:numFmt w:val="bullet"/>
      <w:lvlText w:val="•"/>
      <w:lvlJc w:val="left"/>
      <w:pPr>
        <w:ind w:left="6108" w:hanging="361"/>
      </w:pPr>
      <w:rPr>
        <w:rFonts w:hint="default"/>
        <w:lang w:val="en-US" w:eastAsia="en-US" w:bidi="ar-SA"/>
      </w:rPr>
    </w:lvl>
    <w:lvl w:ilvl="7" w:tplc="70062F66">
      <w:numFmt w:val="bullet"/>
      <w:lvlText w:val="•"/>
      <w:lvlJc w:val="left"/>
      <w:pPr>
        <w:ind w:left="6976" w:hanging="361"/>
      </w:pPr>
      <w:rPr>
        <w:rFonts w:hint="default"/>
        <w:lang w:val="en-US" w:eastAsia="en-US" w:bidi="ar-SA"/>
      </w:rPr>
    </w:lvl>
    <w:lvl w:ilvl="8" w:tplc="E50450D2">
      <w:numFmt w:val="bullet"/>
      <w:lvlText w:val="•"/>
      <w:lvlJc w:val="left"/>
      <w:pPr>
        <w:ind w:left="7844" w:hanging="361"/>
      </w:pPr>
      <w:rPr>
        <w:rFonts w:hint="default"/>
        <w:lang w:val="en-US" w:eastAsia="en-US" w:bidi="ar-SA"/>
      </w:rPr>
    </w:lvl>
  </w:abstractNum>
  <w:abstractNum w:abstractNumId="1" w15:restartNumberingAfterBreak="0">
    <w:nsid w:val="13FB418D"/>
    <w:multiLevelType w:val="multilevel"/>
    <w:tmpl w:val="FBAEDA8A"/>
    <w:lvl w:ilvl="0">
      <w:start w:val="1"/>
      <w:numFmt w:val="decimal"/>
      <w:lvlText w:val="%1"/>
      <w:lvlJc w:val="left"/>
      <w:pPr>
        <w:ind w:left="911" w:hanging="433"/>
        <w:jc w:val="left"/>
      </w:pPr>
      <w:rPr>
        <w:rFonts w:hint="default"/>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652" w:hanging="433"/>
      </w:pPr>
      <w:rPr>
        <w:rFonts w:hint="default"/>
        <w:lang w:val="en-US" w:eastAsia="en-US" w:bidi="ar-SA"/>
      </w:rPr>
    </w:lvl>
    <w:lvl w:ilvl="3">
      <w:numFmt w:val="bullet"/>
      <w:lvlText w:val="•"/>
      <w:lvlJc w:val="left"/>
      <w:pPr>
        <w:ind w:left="3518" w:hanging="433"/>
      </w:pPr>
      <w:rPr>
        <w:rFonts w:hint="default"/>
        <w:lang w:val="en-US" w:eastAsia="en-US" w:bidi="ar-SA"/>
      </w:rPr>
    </w:lvl>
    <w:lvl w:ilvl="4">
      <w:numFmt w:val="bullet"/>
      <w:lvlText w:val="•"/>
      <w:lvlJc w:val="left"/>
      <w:pPr>
        <w:ind w:left="4384" w:hanging="433"/>
      </w:pPr>
      <w:rPr>
        <w:rFonts w:hint="default"/>
        <w:lang w:val="en-US" w:eastAsia="en-US" w:bidi="ar-SA"/>
      </w:rPr>
    </w:lvl>
    <w:lvl w:ilvl="5">
      <w:numFmt w:val="bullet"/>
      <w:lvlText w:val="•"/>
      <w:lvlJc w:val="left"/>
      <w:pPr>
        <w:ind w:left="5250" w:hanging="433"/>
      </w:pPr>
      <w:rPr>
        <w:rFonts w:hint="default"/>
        <w:lang w:val="en-US" w:eastAsia="en-US" w:bidi="ar-SA"/>
      </w:rPr>
    </w:lvl>
    <w:lvl w:ilvl="6">
      <w:numFmt w:val="bullet"/>
      <w:lvlText w:val="•"/>
      <w:lvlJc w:val="left"/>
      <w:pPr>
        <w:ind w:left="6116" w:hanging="433"/>
      </w:pPr>
      <w:rPr>
        <w:rFonts w:hint="default"/>
        <w:lang w:val="en-US" w:eastAsia="en-US" w:bidi="ar-SA"/>
      </w:rPr>
    </w:lvl>
    <w:lvl w:ilvl="7">
      <w:numFmt w:val="bullet"/>
      <w:lvlText w:val="•"/>
      <w:lvlJc w:val="left"/>
      <w:pPr>
        <w:ind w:left="6982" w:hanging="433"/>
      </w:pPr>
      <w:rPr>
        <w:rFonts w:hint="default"/>
        <w:lang w:val="en-US" w:eastAsia="en-US" w:bidi="ar-SA"/>
      </w:rPr>
    </w:lvl>
    <w:lvl w:ilvl="8">
      <w:numFmt w:val="bullet"/>
      <w:lvlText w:val="•"/>
      <w:lvlJc w:val="left"/>
      <w:pPr>
        <w:ind w:left="7848" w:hanging="433"/>
      </w:pPr>
      <w:rPr>
        <w:rFonts w:hint="default"/>
        <w:lang w:val="en-US" w:eastAsia="en-US" w:bidi="ar-SA"/>
      </w:rPr>
    </w:lvl>
  </w:abstractNum>
  <w:abstractNum w:abstractNumId="2" w15:restartNumberingAfterBreak="0">
    <w:nsid w:val="30A732CA"/>
    <w:multiLevelType w:val="hybridMultilevel"/>
    <w:tmpl w:val="EFEAAC24"/>
    <w:lvl w:ilvl="0" w:tplc="ED58F04A">
      <w:start w:val="1"/>
      <w:numFmt w:val="upperLetter"/>
      <w:lvlText w:val="%1."/>
      <w:lvlJc w:val="left"/>
      <w:pPr>
        <w:ind w:left="838" w:hanging="360"/>
      </w:pPr>
      <w:rPr>
        <w:rFonts w:hint="default"/>
        <w:b/>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15:restartNumberingAfterBreak="0">
    <w:nsid w:val="3E2B3D6F"/>
    <w:multiLevelType w:val="multilevel"/>
    <w:tmpl w:val="74323CC8"/>
    <w:lvl w:ilvl="0">
      <w:start w:val="1"/>
      <w:numFmt w:val="decimal"/>
      <w:lvlText w:val="%1."/>
      <w:lvlJc w:val="left"/>
      <w:pPr>
        <w:ind w:left="479"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882" w:hanging="433"/>
      </w:pPr>
      <w:rPr>
        <w:rFonts w:hint="default"/>
        <w:lang w:val="en-US" w:eastAsia="en-US" w:bidi="ar-SA"/>
      </w:rPr>
    </w:lvl>
    <w:lvl w:ilvl="3">
      <w:numFmt w:val="bullet"/>
      <w:lvlText w:val="•"/>
      <w:lvlJc w:val="left"/>
      <w:pPr>
        <w:ind w:left="2844" w:hanging="433"/>
      </w:pPr>
      <w:rPr>
        <w:rFonts w:hint="default"/>
        <w:lang w:val="en-US" w:eastAsia="en-US" w:bidi="ar-SA"/>
      </w:rPr>
    </w:lvl>
    <w:lvl w:ilvl="4">
      <w:numFmt w:val="bullet"/>
      <w:lvlText w:val="•"/>
      <w:lvlJc w:val="left"/>
      <w:pPr>
        <w:ind w:left="3806" w:hanging="433"/>
      </w:pPr>
      <w:rPr>
        <w:rFonts w:hint="default"/>
        <w:lang w:val="en-US" w:eastAsia="en-US" w:bidi="ar-SA"/>
      </w:rPr>
    </w:lvl>
    <w:lvl w:ilvl="5">
      <w:numFmt w:val="bullet"/>
      <w:lvlText w:val="•"/>
      <w:lvlJc w:val="left"/>
      <w:pPr>
        <w:ind w:left="4768" w:hanging="433"/>
      </w:pPr>
      <w:rPr>
        <w:rFonts w:hint="default"/>
        <w:lang w:val="en-US" w:eastAsia="en-US" w:bidi="ar-SA"/>
      </w:rPr>
    </w:lvl>
    <w:lvl w:ilvl="6">
      <w:numFmt w:val="bullet"/>
      <w:lvlText w:val="•"/>
      <w:lvlJc w:val="left"/>
      <w:pPr>
        <w:ind w:left="5731" w:hanging="433"/>
      </w:pPr>
      <w:rPr>
        <w:rFonts w:hint="default"/>
        <w:lang w:val="en-US" w:eastAsia="en-US" w:bidi="ar-SA"/>
      </w:rPr>
    </w:lvl>
    <w:lvl w:ilvl="7">
      <w:numFmt w:val="bullet"/>
      <w:lvlText w:val="•"/>
      <w:lvlJc w:val="left"/>
      <w:pPr>
        <w:ind w:left="6693" w:hanging="433"/>
      </w:pPr>
      <w:rPr>
        <w:rFonts w:hint="default"/>
        <w:lang w:val="en-US" w:eastAsia="en-US" w:bidi="ar-SA"/>
      </w:rPr>
    </w:lvl>
    <w:lvl w:ilvl="8">
      <w:numFmt w:val="bullet"/>
      <w:lvlText w:val="•"/>
      <w:lvlJc w:val="left"/>
      <w:pPr>
        <w:ind w:left="7655" w:hanging="433"/>
      </w:pPr>
      <w:rPr>
        <w:rFonts w:hint="default"/>
        <w:lang w:val="en-US" w:eastAsia="en-US" w:bidi="ar-SA"/>
      </w:rPr>
    </w:lvl>
  </w:abstractNum>
  <w:num w:numId="1" w16cid:durableId="637956930">
    <w:abstractNumId w:val="1"/>
  </w:num>
  <w:num w:numId="2" w16cid:durableId="106656715">
    <w:abstractNumId w:val="3"/>
  </w:num>
  <w:num w:numId="3" w16cid:durableId="1348407808">
    <w:abstractNumId w:val="0"/>
  </w:num>
  <w:num w:numId="4" w16cid:durableId="66855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6F"/>
    <w:rsid w:val="001E091A"/>
    <w:rsid w:val="005D0E6F"/>
    <w:rsid w:val="00AC5F66"/>
    <w:rsid w:val="00E0546B"/>
    <w:rsid w:val="00E57F28"/>
    <w:rsid w:val="00EF0027"/>
    <w:rsid w:val="00FB0790"/>
    <w:rsid w:val="00FD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2D48"/>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spacing w:before="240"/>
      <w:ind w:left="911"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7F28"/>
    <w:pPr>
      <w:tabs>
        <w:tab w:val="center" w:pos="4680"/>
        <w:tab w:val="right" w:pos="9360"/>
      </w:tabs>
    </w:pPr>
  </w:style>
  <w:style w:type="character" w:customStyle="1" w:styleId="HeaderChar">
    <w:name w:val="Header Char"/>
    <w:basedOn w:val="DefaultParagraphFont"/>
    <w:link w:val="Header"/>
    <w:uiPriority w:val="99"/>
    <w:rsid w:val="00E57F28"/>
    <w:rPr>
      <w:rFonts w:ascii="Calibri" w:eastAsia="Calibri" w:hAnsi="Calibri" w:cs="Calibri"/>
    </w:rPr>
  </w:style>
  <w:style w:type="paragraph" w:styleId="Footer">
    <w:name w:val="footer"/>
    <w:basedOn w:val="Normal"/>
    <w:link w:val="FooterChar"/>
    <w:uiPriority w:val="99"/>
    <w:unhideWhenUsed/>
    <w:rsid w:val="00E57F28"/>
    <w:pPr>
      <w:tabs>
        <w:tab w:val="center" w:pos="4680"/>
        <w:tab w:val="right" w:pos="9360"/>
      </w:tabs>
    </w:pPr>
  </w:style>
  <w:style w:type="character" w:customStyle="1" w:styleId="FooterChar">
    <w:name w:val="Footer Char"/>
    <w:basedOn w:val="DefaultParagraphFont"/>
    <w:link w:val="Footer"/>
    <w:uiPriority w:val="99"/>
    <w:rsid w:val="00E57F28"/>
    <w:rPr>
      <w:rFonts w:ascii="Calibri" w:eastAsia="Calibri" w:hAnsi="Calibri" w:cs="Calibri"/>
    </w:rPr>
  </w:style>
  <w:style w:type="paragraph" w:styleId="Revision">
    <w:name w:val="Revision"/>
    <w:hidden/>
    <w:uiPriority w:val="99"/>
    <w:semiHidden/>
    <w:rsid w:val="001E091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66502F80-C268-4F17-A12E-7B43D13245BF}">
  <ds:schemaRefs>
    <ds:schemaRef ds:uri="http://schemas.microsoft.com/sharepoint/v3/contenttype/forms"/>
  </ds:schemaRefs>
</ds:datastoreItem>
</file>

<file path=customXml/itemProps2.xml><?xml version="1.0" encoding="utf-8"?>
<ds:datastoreItem xmlns:ds="http://schemas.openxmlformats.org/officeDocument/2006/customXml" ds:itemID="{F19791EB-1B76-4FA7-94F5-240613C84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4F0BF-11AB-4141-8D8D-7ECF53A03FFB}">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b7231b89-4636-4e87-bf18-5864c59853ef"/>
    <ds:schemaRef ds:uri="http://purl.org/dc/terms/"/>
    <ds:schemaRef ds:uri="http://purl.org/dc/dcmitype/"/>
    <ds:schemaRef ds:uri="4453b6c3-2045-4d26-88bc-30339f4f6f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2024-04-09T21:13:00Z</dcterms:created>
  <dcterms:modified xsi:type="dcterms:W3CDTF">2024-04-09T21:13:00Z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Acrobat PDFMaker 23 for Word</vt:lpwstr>
  </property>
  <property fmtid="{D5CDD505-2E9C-101B-9397-08002B2CF9AE}" pid="4" name="LastSaved">
    <vt:filetime>2024-02-11T00:00:00Z</vt:filetime>
  </property>
  <property fmtid="{D5CDD505-2E9C-101B-9397-08002B2CF9AE}" pid="5" name="Producer">
    <vt:lpwstr>Adobe PDF Library 23.1.206</vt:lpwstr>
  </property>
  <property fmtid="{D5CDD505-2E9C-101B-9397-08002B2CF9AE}" pid="6" name="SourceModified">
    <vt:lpwstr>D:20230526133827</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2024-04-04T03:03:54Z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1a214ec4-e68e-43e3-bbd7-4a2906a0ad11</vt:lpwstr>
  </property>
  <property fmtid="{D5CDD505-2E9C-101B-9397-08002B2CF9AE}" pid="14" name="MSIP_Label_bfe2c8f9-1977-4483-bc2a-a0132c8c75ea_ContentBits">
    <vt:lpwstr>0</vt:lpwstr>
  </property>
</Properties>
</file>