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3BBB" w14:textId="77777777" w:rsidR="00B109DB" w:rsidRDefault="00B109DB">
      <w:pPr>
        <w:pStyle w:val="BodyText"/>
        <w:spacing w:before="58"/>
        <w:rPr>
          <w:rFonts w:ascii="Times New Roman"/>
          <w:sz w:val="20"/>
        </w:rPr>
      </w:pPr>
    </w:p>
    <w:p w14:paraId="76AE3BBC" w14:textId="77777777" w:rsidR="00B109DB" w:rsidRDefault="006A2921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6AE3C1E" wp14:editId="76AE3C1F">
                <wp:extent cx="5943600" cy="4013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1320"/>
                          <a:chOff x="0" y="0"/>
                          <a:chExt cx="5943600" cy="401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132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94728"/>
                                </a:lnTo>
                                <a:lnTo>
                                  <a:pt x="0" y="400824"/>
                                </a:lnTo>
                                <a:lnTo>
                                  <a:pt x="6096" y="400824"/>
                                </a:lnTo>
                                <a:lnTo>
                                  <a:pt x="5937504" y="400824"/>
                                </a:lnTo>
                                <a:lnTo>
                                  <a:pt x="5943600" y="400824"/>
                                </a:lnTo>
                                <a:lnTo>
                                  <a:pt x="5943600" y="394728"/>
                                </a:lnTo>
                                <a:lnTo>
                                  <a:pt x="5943600" y="610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0"/>
                            <a:ext cx="593788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E3C2A" w14:textId="77777777" w:rsidR="006A2921" w:rsidRDefault="006A2921">
                              <w:pPr>
                                <w:spacing w:before="120"/>
                                <w:ind w:left="65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401B: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EXEMPT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IRB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E3C1E" id="Group 5" o:spid="_x0000_s1026" style="width:468pt;height:31.6pt;mso-position-horizontal-relative:char;mso-position-vertical-relative:line" coordsize="59436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">
                <v:shape id="Graphic 6" o:spid="_x0000_s1027" style="position:absolute;width:59436;height:4013;visibility:visible;mso-wrap-style:square;v-text-anchor:top" coordsize="594360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" path="m5943600,r-6084,l6096,,,,,6108,,394728r,6096l6096,400824r5931408,l5943600,400824r,-6096l5943600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width:59379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AE3C2A" w14:textId="77777777" w:rsidR="006A2921" w:rsidRDefault="006A2921">
                        <w:pPr>
                          <w:spacing w:before="120"/>
                          <w:ind w:left="65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401B: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ACTIVITIES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EXEMPT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FROM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IRB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REVIEW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AE3BBD" w14:textId="77777777" w:rsidR="00B109DB" w:rsidRDefault="00B109DB">
      <w:pPr>
        <w:pStyle w:val="BodyText"/>
        <w:spacing w:before="245"/>
        <w:rPr>
          <w:rFonts w:ascii="Times New Roman"/>
        </w:rPr>
      </w:pPr>
    </w:p>
    <w:p w14:paraId="76AE3BBE" w14:textId="77777777" w:rsidR="00B109DB" w:rsidRDefault="006A2921">
      <w:pPr>
        <w:pStyle w:val="Heading1"/>
      </w:pPr>
      <w:r>
        <w:rPr>
          <w:spacing w:val="-2"/>
        </w:rPr>
        <w:t>PURPOSE</w:t>
      </w:r>
    </w:p>
    <w:p w14:paraId="76AE3BBF" w14:textId="0B3A4646" w:rsidR="00B109DB" w:rsidRDefault="006A2921">
      <w:pPr>
        <w:pStyle w:val="BodyText"/>
        <w:ind w:left="120" w:right="131"/>
        <w:jc w:val="both"/>
      </w:pPr>
      <w:r>
        <w:t>The</w:t>
      </w:r>
      <w:r>
        <w:rPr>
          <w:spacing w:val="-3"/>
        </w:rPr>
        <w:t xml:space="preserve"> </w:t>
      </w:r>
      <w:r w:rsidR="004E3B2A">
        <w:t>Queen’s Medical Center</w:t>
      </w:r>
      <w:r>
        <w:rPr>
          <w:spacing w:val="-4"/>
        </w:rPr>
        <w:t xml:space="preserve"> Research </w:t>
      </w:r>
      <w:r>
        <w:t>Institutional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(</w:t>
      </w:r>
      <w:r w:rsidR="004E3B2A">
        <w:t>RIRC</w:t>
      </w:r>
      <w:r>
        <w:t>)</w:t>
      </w:r>
      <w:r>
        <w:rPr>
          <w:spacing w:val="-3"/>
        </w:rPr>
        <w:t xml:space="preserve"> </w:t>
      </w:r>
      <w:r>
        <w:t>oversees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subjects.</w:t>
      </w:r>
      <w:r>
        <w:rPr>
          <w:spacing w:val="-4"/>
        </w:rPr>
        <w:t xml:space="preserve"> </w:t>
      </w:r>
      <w:r>
        <w:t xml:space="preserve">This SOP defines what research may be exempt from </w:t>
      </w:r>
      <w:r w:rsidR="004E3B2A">
        <w:t>RIRC</w:t>
      </w:r>
      <w:r>
        <w:t xml:space="preserve"> review and the procedures for determining when research may be exempt from </w:t>
      </w:r>
      <w:r w:rsidR="004E3B2A">
        <w:t>RIRC</w:t>
      </w:r>
      <w:r>
        <w:t xml:space="preserve"> review.</w:t>
      </w:r>
    </w:p>
    <w:p w14:paraId="76AE3BC0" w14:textId="77777777" w:rsidR="00B109DB" w:rsidRDefault="00B109DB">
      <w:pPr>
        <w:pStyle w:val="BodyText"/>
      </w:pPr>
    </w:p>
    <w:p w14:paraId="76AE3BC1" w14:textId="77777777" w:rsidR="00B109DB" w:rsidRDefault="006A2921">
      <w:pPr>
        <w:pStyle w:val="Heading1"/>
      </w:pPr>
      <w:r>
        <w:rPr>
          <w:spacing w:val="-2"/>
        </w:rPr>
        <w:t>SCOPE</w:t>
      </w:r>
    </w:p>
    <w:p w14:paraId="76AE3BC2" w14:textId="612E2B4B" w:rsidR="00B109DB" w:rsidRDefault="006A2921">
      <w:pPr>
        <w:pStyle w:val="BodyText"/>
        <w:ind w:left="120"/>
        <w:jc w:val="both"/>
      </w:pP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applies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4E3B2A">
        <w:t>Queen’s Medical Center</w:t>
      </w:r>
      <w:r>
        <w:rPr>
          <w:spacing w:val="-2"/>
        </w:rPr>
        <w:t>.</w:t>
      </w:r>
    </w:p>
    <w:p w14:paraId="76AE3BC3" w14:textId="77777777" w:rsidR="00B109DB" w:rsidRDefault="00B109DB">
      <w:pPr>
        <w:pStyle w:val="BodyText"/>
        <w:spacing w:before="1"/>
      </w:pPr>
    </w:p>
    <w:p w14:paraId="76AE3BC4" w14:textId="77777777" w:rsidR="00B109DB" w:rsidRDefault="006A2921">
      <w:pPr>
        <w:pStyle w:val="Heading1"/>
      </w:pPr>
      <w:r>
        <w:rPr>
          <w:spacing w:val="-2"/>
        </w:rPr>
        <w:t>DEFINITIONS</w:t>
      </w:r>
    </w:p>
    <w:p w14:paraId="76AE3BC5" w14:textId="09E93924" w:rsidR="00B109DB" w:rsidRDefault="00B9004A">
      <w:pPr>
        <w:pStyle w:val="ListParagraph"/>
        <w:numPr>
          <w:ilvl w:val="0"/>
          <w:numId w:val="2"/>
        </w:numPr>
        <w:tabs>
          <w:tab w:val="left" w:pos="838"/>
          <w:tab w:val="left" w:pos="840"/>
        </w:tabs>
        <w:spacing w:before="268"/>
        <w:ind w:right="107"/>
      </w:pPr>
      <w:r>
        <w:rPr>
          <w:b/>
          <w:i/>
        </w:rPr>
        <w:t>Exempt</w:t>
      </w:r>
      <w:r w:rsidR="006A2921">
        <w:rPr>
          <w:b/>
          <w:i/>
          <w:spacing w:val="-2"/>
        </w:rPr>
        <w:t xml:space="preserve"> </w:t>
      </w:r>
      <w:r w:rsidR="006A2921">
        <w:rPr>
          <w:b/>
          <w:i/>
        </w:rPr>
        <w:t>review</w:t>
      </w:r>
      <w:r w:rsidR="006A2921">
        <w:rPr>
          <w:b/>
          <w:i/>
          <w:spacing w:val="-4"/>
        </w:rPr>
        <w:t xml:space="preserve"> </w:t>
      </w:r>
      <w:r w:rsidR="006A2921">
        <w:t>is</w:t>
      </w:r>
      <w:r w:rsidR="006A2921">
        <w:rPr>
          <w:spacing w:val="-3"/>
        </w:rPr>
        <w:t xml:space="preserve"> </w:t>
      </w:r>
      <w:r w:rsidR="006A2921">
        <w:t>a</w:t>
      </w:r>
      <w:r w:rsidR="006A2921">
        <w:rPr>
          <w:spacing w:val="-1"/>
        </w:rPr>
        <w:t xml:space="preserve"> </w:t>
      </w:r>
      <w:r w:rsidR="006A2921">
        <w:t>process</w:t>
      </w:r>
      <w:r w:rsidR="006A2921">
        <w:rPr>
          <w:spacing w:val="-3"/>
        </w:rPr>
        <w:t xml:space="preserve"> </w:t>
      </w:r>
      <w:r w:rsidR="006A2921">
        <w:t>that</w:t>
      </w:r>
      <w:r w:rsidR="006A2921">
        <w:rPr>
          <w:spacing w:val="-2"/>
        </w:rPr>
        <w:t xml:space="preserve"> </w:t>
      </w:r>
      <w:r w:rsidR="006A2921">
        <w:t>is</w:t>
      </w:r>
      <w:r w:rsidR="006A2921">
        <w:rPr>
          <w:spacing w:val="-3"/>
        </w:rPr>
        <w:t xml:space="preserve"> </w:t>
      </w:r>
      <w:r w:rsidR="006A2921">
        <w:t>required</w:t>
      </w:r>
      <w:r w:rsidR="006A2921">
        <w:rPr>
          <w:spacing w:val="-2"/>
        </w:rPr>
        <w:t xml:space="preserve"> </w:t>
      </w:r>
      <w:r w:rsidR="006A2921">
        <w:t>only</w:t>
      </w:r>
      <w:r w:rsidR="006A2921">
        <w:rPr>
          <w:spacing w:val="-2"/>
        </w:rPr>
        <w:t xml:space="preserve"> </w:t>
      </w:r>
      <w:r w:rsidR="006A2921">
        <w:t>for</w:t>
      </w:r>
      <w:r w:rsidR="006A2921">
        <w:rPr>
          <w:spacing w:val="-3"/>
        </w:rPr>
        <w:t xml:space="preserve"> </w:t>
      </w:r>
      <w:r w:rsidR="006A2921">
        <w:t>certain</w:t>
      </w:r>
      <w:r w:rsidR="006A2921">
        <w:rPr>
          <w:spacing w:val="-2"/>
        </w:rPr>
        <w:t xml:space="preserve"> </w:t>
      </w:r>
      <w:r w:rsidR="006A2921">
        <w:t>exemptions</w:t>
      </w:r>
      <w:r w:rsidR="006A2921">
        <w:rPr>
          <w:spacing w:val="-1"/>
        </w:rPr>
        <w:t xml:space="preserve"> </w:t>
      </w:r>
      <w:r w:rsidR="006A2921">
        <w:t>and</w:t>
      </w:r>
      <w:r w:rsidR="006A2921">
        <w:rPr>
          <w:spacing w:val="-3"/>
        </w:rPr>
        <w:t xml:space="preserve"> </w:t>
      </w:r>
      <w:r w:rsidR="006A2921">
        <w:t>does</w:t>
      </w:r>
      <w:r w:rsidR="006A2921">
        <w:rPr>
          <w:spacing w:val="-3"/>
        </w:rPr>
        <w:t xml:space="preserve"> </w:t>
      </w:r>
      <w:r w:rsidR="006A2921">
        <w:t>not</w:t>
      </w:r>
      <w:r w:rsidR="006A2921">
        <w:rPr>
          <w:spacing w:val="-3"/>
        </w:rPr>
        <w:t xml:space="preserve"> </w:t>
      </w:r>
      <w:r w:rsidR="006A2921">
        <w:t xml:space="preserve">require an </w:t>
      </w:r>
      <w:r w:rsidR="004E3B2A">
        <w:t>RIRC</w:t>
      </w:r>
      <w:r w:rsidR="006A2921">
        <w:t xml:space="preserve"> to consider all the </w:t>
      </w:r>
      <w:r w:rsidR="004E3B2A">
        <w:t>RIRC</w:t>
      </w:r>
      <w:r w:rsidR="006A2921">
        <w:t xml:space="preserve"> approval criteria in 45 CFR 46.111. In </w:t>
      </w:r>
      <w:r>
        <w:t>exempt</w:t>
      </w:r>
      <w:r w:rsidR="006A2921">
        <w:t xml:space="preserve"> review, the </w:t>
      </w:r>
      <w:r w:rsidR="004E3B2A">
        <w:t>R</w:t>
      </w:r>
      <w:r w:rsidR="002F4E10">
        <w:t xml:space="preserve">RO </w:t>
      </w:r>
      <w:r w:rsidR="006A2921">
        <w:t>must determine that certain conditions, which are specified in the regulations are met.</w:t>
      </w:r>
    </w:p>
    <w:p w14:paraId="2FDFB8EE" w14:textId="4CCE6C6F" w:rsidR="00A76784" w:rsidRDefault="006A2921" w:rsidP="002F4E10">
      <w:pPr>
        <w:pStyle w:val="ListParagraph"/>
        <w:numPr>
          <w:ilvl w:val="0"/>
          <w:numId w:val="2"/>
        </w:numPr>
        <w:tabs>
          <w:tab w:val="left" w:pos="838"/>
          <w:tab w:val="left" w:pos="840"/>
        </w:tabs>
        <w:spacing w:before="268"/>
        <w:ind w:right="131" w:hanging="361"/>
      </w:pPr>
      <w:r>
        <w:rPr>
          <w:b/>
          <w:i/>
        </w:rPr>
        <w:t>Minimal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risk</w:t>
      </w:r>
      <w:r>
        <w:rPr>
          <w:b/>
          <w:i/>
          <w:spacing w:val="-1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probability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magnitude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discomfort</w:t>
      </w:r>
      <w:r>
        <w:rPr>
          <w:spacing w:val="-3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research are not greater than those ordinarily encountered in daily life or during the performance of routine physical or psychological examinations or tests.</w:t>
      </w:r>
      <w:r w:rsidR="00B9004A" w:rsidRPr="002F4E10">
        <w:rPr>
          <w:bCs/>
          <w:iCs/>
        </w:rPr>
        <w:t xml:space="preserve">  </w:t>
      </w:r>
    </w:p>
    <w:p w14:paraId="76AE3BC7" w14:textId="77777777" w:rsidR="00B109DB" w:rsidRDefault="00B109DB">
      <w:pPr>
        <w:pStyle w:val="BodyText"/>
      </w:pPr>
    </w:p>
    <w:p w14:paraId="76AE3BC8" w14:textId="77777777" w:rsidR="00B109DB" w:rsidRDefault="00B109DB">
      <w:pPr>
        <w:pStyle w:val="BodyText"/>
      </w:pPr>
    </w:p>
    <w:p w14:paraId="76AE3BC9" w14:textId="492269C8" w:rsidR="00B109DB" w:rsidRDefault="006A2921">
      <w:pPr>
        <w:pStyle w:val="Heading1"/>
      </w:pPr>
      <w:r>
        <w:rPr>
          <w:spacing w:val="-2"/>
        </w:rPr>
        <w:t>BACKGROUND</w:t>
      </w:r>
    </w:p>
    <w:p w14:paraId="76AE3BCA" w14:textId="70EAB625" w:rsidR="00B109DB" w:rsidRDefault="006A2921">
      <w:pPr>
        <w:pStyle w:val="BodyText"/>
        <w:ind w:left="120" w:right="194"/>
      </w:pPr>
      <w:r>
        <w:t>Human subject research that is categorized as exempt research is exempt from most of the requirements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subjects.</w:t>
      </w:r>
      <w:r>
        <w:rPr>
          <w:spacing w:val="-3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 xml:space="preserve">fit within an exemption category. Investigators are expected to adhere to principles of sound research design and ethics and follow any applicable state laws and </w:t>
      </w:r>
      <w:r w:rsidR="00286CC0">
        <w:t>QMC</w:t>
      </w:r>
      <w:r>
        <w:t xml:space="preserve"> policies.</w:t>
      </w:r>
    </w:p>
    <w:p w14:paraId="76AE3BCB" w14:textId="77777777" w:rsidR="00B109DB" w:rsidRDefault="00B109DB">
      <w:pPr>
        <w:pStyle w:val="BodyText"/>
        <w:spacing w:before="1"/>
      </w:pPr>
    </w:p>
    <w:p w14:paraId="76AE3BCC" w14:textId="69C98C1A" w:rsidR="00B109DB" w:rsidRDefault="006A2921">
      <w:pPr>
        <w:pStyle w:val="BodyText"/>
        <w:ind w:left="120" w:right="114"/>
      </w:pPr>
      <w:r>
        <w:t xml:space="preserve">The </w:t>
      </w:r>
      <w:r w:rsidR="004E3B2A">
        <w:t>Queen’s Medical Center</w:t>
      </w:r>
      <w:r>
        <w:t xml:space="preserve"> </w:t>
      </w:r>
      <w:r w:rsidR="004E3B2A">
        <w:t>RIRC</w:t>
      </w:r>
      <w:r>
        <w:t xml:space="preserve"> utilizes the exemption categories 1-6 as outlined in 45 CFR 46.104 for federally funded research. </w:t>
      </w:r>
      <w:r w:rsidR="004E3B2A">
        <w:t>Queen’s Medical Center</w:t>
      </w:r>
      <w:r>
        <w:t xml:space="preserve"> </w:t>
      </w:r>
      <w:r w:rsidR="004E3B2A">
        <w:t>RIRC</w:t>
      </w:r>
      <w:r>
        <w:t xml:space="preserve"> does not utilize broad consent and the exemption categories intended for research using broad consent (categories 7-8) are not applied at the </w:t>
      </w:r>
      <w:r w:rsidR="004E3B2A">
        <w:t>Queen’s Medical Center</w:t>
      </w:r>
      <w:r>
        <w:t>.</w:t>
      </w:r>
    </w:p>
    <w:p w14:paraId="76AE3BCD" w14:textId="77777777" w:rsidR="00B109DB" w:rsidRDefault="00B109DB">
      <w:pPr>
        <w:pStyle w:val="BodyText"/>
      </w:pPr>
    </w:p>
    <w:p w14:paraId="76AE3BD4" w14:textId="098A800F" w:rsidR="00B109DB" w:rsidRDefault="006A2921" w:rsidP="00C032AD">
      <w:pPr>
        <w:pStyle w:val="BodyText"/>
        <w:ind w:left="120" w:right="194"/>
      </w:pPr>
      <w:r>
        <w:t>For the purposes of this policy</w:t>
      </w:r>
      <w:r w:rsidRPr="0041201D">
        <w:t xml:space="preserve">, </w:t>
      </w:r>
      <w:r w:rsidR="004E3B2A" w:rsidRPr="0041201D">
        <w:t>R</w:t>
      </w:r>
      <w:r w:rsidR="002F4E10" w:rsidRPr="0041201D">
        <w:t xml:space="preserve">RO </w:t>
      </w:r>
      <w:r w:rsidRPr="0041201D">
        <w:t xml:space="preserve">staff who are designated </w:t>
      </w:r>
      <w:r w:rsidR="002F4E10" w:rsidRPr="0041201D">
        <w:t>reviewers</w:t>
      </w:r>
      <w:r w:rsidRPr="0041201D">
        <w:t xml:space="preserve"> are termed </w:t>
      </w:r>
      <w:r w:rsidR="004E3B2A" w:rsidRPr="0041201D">
        <w:t>R</w:t>
      </w:r>
      <w:r w:rsidR="002F4E10" w:rsidRPr="0041201D">
        <w:t>RO</w:t>
      </w:r>
      <w:r w:rsidRPr="0041201D">
        <w:t xml:space="preserve"> reviewers</w:t>
      </w:r>
      <w:r w:rsidR="002F4E10">
        <w:t xml:space="preserve"> </w:t>
      </w:r>
      <w:r>
        <w:t xml:space="preserve">Exemptions are determined by an </w:t>
      </w:r>
      <w:r w:rsidR="004E3B2A">
        <w:t>R</w:t>
      </w:r>
      <w:r w:rsidR="00B9004A">
        <w:t>R</w:t>
      </w:r>
      <w:r w:rsidR="002F4E10">
        <w:t>O</w:t>
      </w:r>
      <w:r>
        <w:t xml:space="preserve"> reviewer.</w:t>
      </w:r>
      <w:r w:rsidR="00C032AD">
        <w:t xml:space="preserve"> </w:t>
      </w:r>
      <w:r>
        <w:t xml:space="preserve">If an </w:t>
      </w:r>
      <w:r w:rsidR="004E3B2A">
        <w:t>R</w:t>
      </w:r>
      <w:r w:rsidR="002F4E10">
        <w:t>RO</w:t>
      </w:r>
      <w:r>
        <w:t xml:space="preserve"> reviewer believes that a study proposal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exemption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poses</w:t>
      </w:r>
      <w:r>
        <w:rPr>
          <w:spacing w:val="-2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concerns,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new study application.</w:t>
      </w:r>
    </w:p>
    <w:p w14:paraId="76AE3BD5" w14:textId="686681A2" w:rsidR="00B109DB" w:rsidRDefault="006A2921">
      <w:pPr>
        <w:pStyle w:val="BodyText"/>
        <w:spacing w:before="268"/>
        <w:ind w:left="120" w:right="194"/>
      </w:pPr>
      <w:r>
        <w:t xml:space="preserve">All exempt reviews conducted by an </w:t>
      </w:r>
      <w:r w:rsidR="002F4E10">
        <w:t>RRO reviewer</w:t>
      </w:r>
      <w:r>
        <w:t xml:space="preserve"> meet the requirements of a limited </w:t>
      </w:r>
      <w:r w:rsidR="004E3B2A">
        <w:t>RIRC</w:t>
      </w:r>
      <w:r>
        <w:t xml:space="preserve"> review by 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privacy of</w:t>
      </w:r>
      <w:r>
        <w:rPr>
          <w:spacing w:val="-3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data.</w:t>
      </w:r>
      <w:r>
        <w:rPr>
          <w:spacing w:val="-3"/>
        </w:rPr>
        <w:t xml:space="preserve"> </w:t>
      </w:r>
      <w:r>
        <w:t>Investigators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the guided exemption if a limited </w:t>
      </w:r>
      <w:r w:rsidR="004E3B2A">
        <w:t>RIRC</w:t>
      </w:r>
      <w:r>
        <w:t xml:space="preserve"> review is required. The </w:t>
      </w:r>
      <w:r w:rsidR="004E3B2A">
        <w:t>Queen’s Medical Center</w:t>
      </w:r>
      <w:r>
        <w:t xml:space="preserve"> retains the authority to suspend or terminate </w:t>
      </w:r>
      <w:r w:rsidR="004E3B2A">
        <w:t>RIRC</w:t>
      </w:r>
      <w:r>
        <w:t xml:space="preserve"> approval of research approved with a limited </w:t>
      </w:r>
      <w:r>
        <w:lastRenderedPageBreak/>
        <w:t>review.</w:t>
      </w:r>
    </w:p>
    <w:p w14:paraId="76AE3BD6" w14:textId="77777777" w:rsidR="00B109DB" w:rsidRDefault="00B109DB">
      <w:pPr>
        <w:pStyle w:val="BodyText"/>
      </w:pPr>
    </w:p>
    <w:p w14:paraId="76AE3BD7" w14:textId="6BD8EC43" w:rsidR="00B109DB" w:rsidRDefault="006A2921">
      <w:pPr>
        <w:pStyle w:val="BodyText"/>
        <w:ind w:left="120" w:right="26"/>
      </w:pPr>
      <w:r>
        <w:t xml:space="preserve">Continuing review is not required for studies determined to be exempt. </w:t>
      </w:r>
    </w:p>
    <w:p w14:paraId="76AE3BD8" w14:textId="77777777" w:rsidR="00B109DB" w:rsidRDefault="00B109DB">
      <w:pPr>
        <w:pStyle w:val="BodyText"/>
      </w:pPr>
    </w:p>
    <w:p w14:paraId="76AE3BD9" w14:textId="3F88227B" w:rsidR="00B109DB" w:rsidRDefault="006A2921">
      <w:pPr>
        <w:pStyle w:val="BodyText"/>
        <w:ind w:left="120" w:right="194"/>
      </w:pPr>
      <w:r>
        <w:t>Substantive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 xml:space="preserve">the study still qualifies for exempt status considering the changes. Exempt studies must adhere to the </w:t>
      </w:r>
      <w:r w:rsidR="004E3B2A">
        <w:t>Queen’s Medical Center</w:t>
      </w:r>
      <w:r>
        <w:t xml:space="preserve"> </w:t>
      </w:r>
      <w:r w:rsidR="004E3B2A">
        <w:t>RIRC</w:t>
      </w:r>
      <w:r>
        <w:t xml:space="preserve"> reporting requirements for unanticipated problems and deviations. Exempt studies must be closed with the </w:t>
      </w:r>
      <w:r w:rsidR="004E3B2A">
        <w:t>R</w:t>
      </w:r>
      <w:r w:rsidR="002F4E10">
        <w:t>RO</w:t>
      </w:r>
      <w:r>
        <w:t xml:space="preserve"> once the research activities are complete.</w:t>
      </w:r>
    </w:p>
    <w:p w14:paraId="76AE3BDA" w14:textId="77777777" w:rsidR="00B109DB" w:rsidRDefault="00B109DB">
      <w:pPr>
        <w:pStyle w:val="BodyText"/>
      </w:pPr>
    </w:p>
    <w:p w14:paraId="76AE3BDB" w14:textId="77777777" w:rsidR="00B109DB" w:rsidRDefault="006A2921">
      <w:pPr>
        <w:pStyle w:val="Heading1"/>
      </w:pPr>
      <w:r>
        <w:rPr>
          <w:spacing w:val="-2"/>
        </w:rPr>
        <w:t>PROCEDURES</w:t>
      </w:r>
    </w:p>
    <w:p w14:paraId="76AE3BDC" w14:textId="77777777" w:rsidR="00B109DB" w:rsidRDefault="00B109DB">
      <w:pPr>
        <w:pStyle w:val="BodyText"/>
        <w:spacing w:before="1"/>
        <w:rPr>
          <w:b/>
        </w:rPr>
      </w:pPr>
    </w:p>
    <w:p w14:paraId="76AE3BDD" w14:textId="77777777" w:rsidR="00B109DB" w:rsidRDefault="006A2921">
      <w:pPr>
        <w:pStyle w:val="ListParagraph"/>
        <w:numPr>
          <w:ilvl w:val="0"/>
          <w:numId w:val="1"/>
        </w:numPr>
        <w:tabs>
          <w:tab w:val="left" w:pos="765"/>
        </w:tabs>
        <w:spacing w:before="0"/>
        <w:ind w:left="765" w:hanging="358"/>
        <w:rPr>
          <w:b/>
        </w:rPr>
      </w:pPr>
      <w:r>
        <w:rPr>
          <w:b/>
        </w:rPr>
        <w:t>Exempt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Research</w:t>
      </w:r>
    </w:p>
    <w:p w14:paraId="76AE3BDE" w14:textId="3165B238" w:rsidR="00B109DB" w:rsidRDefault="006A2921">
      <w:pPr>
        <w:pStyle w:val="ListParagraph"/>
        <w:numPr>
          <w:ilvl w:val="1"/>
          <w:numId w:val="1"/>
        </w:numPr>
        <w:tabs>
          <w:tab w:val="left" w:pos="1595"/>
        </w:tabs>
        <w:spacing w:before="119"/>
      </w:pPr>
      <w:r>
        <w:t>The</w:t>
      </w:r>
      <w:r>
        <w:rPr>
          <w:spacing w:val="-8"/>
        </w:rPr>
        <w:t xml:space="preserve"> </w:t>
      </w:r>
      <w:r>
        <w:t>investigator</w:t>
      </w:r>
      <w:r>
        <w:rPr>
          <w:spacing w:val="-8"/>
        </w:rPr>
        <w:t xml:space="preserve"> </w:t>
      </w:r>
      <w:r>
        <w:t>submits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application</w:t>
      </w:r>
      <w:r>
        <w:rPr>
          <w:spacing w:val="-2"/>
        </w:rPr>
        <w:t>.</w:t>
      </w:r>
    </w:p>
    <w:p w14:paraId="76AE3BDF" w14:textId="0608F74A" w:rsidR="00B109DB" w:rsidRDefault="006A2921">
      <w:pPr>
        <w:pStyle w:val="ListParagraph"/>
        <w:numPr>
          <w:ilvl w:val="1"/>
          <w:numId w:val="1"/>
        </w:numPr>
        <w:tabs>
          <w:tab w:val="left" w:pos="1595"/>
          <w:tab w:val="left" w:pos="1602"/>
        </w:tabs>
        <w:ind w:left="1602" w:right="124" w:hanging="577"/>
      </w:pPr>
      <w:r>
        <w:t>Based on the responses provided in the new study application, some study proposals 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guided</w:t>
      </w:r>
      <w:r>
        <w:rPr>
          <w:spacing w:val="-3"/>
        </w:rPr>
        <w:t xml:space="preserve"> </w:t>
      </w:r>
      <w:r>
        <w:t>exemption.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eligible,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 xml:space="preserve">to receive a guided exemption or to request that the application be referred </w:t>
      </w:r>
      <w:r w:rsidR="00C032AD">
        <w:t xml:space="preserve">to </w:t>
      </w:r>
      <w:r>
        <w:t>reviewer for an exemption determination. If the investigator opts for the guided exemption, the</w:t>
      </w:r>
      <w:r>
        <w:rPr>
          <w:spacing w:val="-2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prompts and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 all</w:t>
      </w:r>
      <w:r>
        <w:rPr>
          <w:spacing w:val="-2"/>
        </w:rPr>
        <w:t xml:space="preserve"> </w:t>
      </w:r>
      <w:r>
        <w:t>stipulations</w:t>
      </w:r>
      <w:r>
        <w:rPr>
          <w:spacing w:val="-2"/>
        </w:rPr>
        <w:t xml:space="preserve"> </w:t>
      </w:r>
      <w:r>
        <w:t>in order to receive confirmation of the exemption determination.</w:t>
      </w:r>
    </w:p>
    <w:p w14:paraId="76AE3BE0" w14:textId="39E3D098" w:rsidR="00B109DB" w:rsidRDefault="006A2921">
      <w:pPr>
        <w:pStyle w:val="ListParagraph"/>
        <w:numPr>
          <w:ilvl w:val="1"/>
          <w:numId w:val="1"/>
        </w:numPr>
        <w:tabs>
          <w:tab w:val="left" w:pos="1595"/>
          <w:tab w:val="left" w:pos="1603"/>
        </w:tabs>
        <w:ind w:left="1603" w:right="171" w:hanging="577"/>
      </w:pPr>
      <w:r>
        <w:t xml:space="preserve">The </w:t>
      </w:r>
      <w:r w:rsidR="004E3B2A">
        <w:t>R</w:t>
      </w:r>
      <w:r w:rsidR="002F4E10">
        <w:t>RO</w:t>
      </w:r>
      <w:r>
        <w:t xml:space="preserve"> reviewer conducts a review of the research proposal</w:t>
      </w:r>
      <w:r w:rsidR="002F4E10">
        <w:t xml:space="preserve">.  </w:t>
      </w:r>
      <w:r>
        <w:t xml:space="preserve">When one or more of the exemption categories are applicable to the research, the </w:t>
      </w:r>
      <w:r w:rsidR="004E3B2A">
        <w:t>R</w:t>
      </w:r>
      <w:r w:rsidR="002F4E10">
        <w:t>RO</w:t>
      </w:r>
      <w:r>
        <w:t xml:space="preserve"> reviewer</w:t>
      </w:r>
      <w:r>
        <w:rPr>
          <w:spacing w:val="-5"/>
        </w:rPr>
        <w:t xml:space="preserve"> </w:t>
      </w:r>
      <w:r w:rsidR="002F4E10">
        <w:rPr>
          <w:spacing w:val="-5"/>
        </w:rPr>
        <w:t xml:space="preserve">makes the final determination and </w:t>
      </w:r>
      <w:r>
        <w:t>documents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category(</w:t>
      </w:r>
      <w:proofErr w:type="spellStart"/>
      <w:r>
        <w:t>ies</w:t>
      </w:r>
      <w:proofErr w:type="spellEnd"/>
      <w:r>
        <w:t>)</w:t>
      </w:r>
      <w:r>
        <w:rPr>
          <w:spacing w:val="-4"/>
        </w:rPr>
        <w:t xml:space="preserve"> </w:t>
      </w:r>
      <w:r w:rsidR="002F4E10">
        <w:t>in the determination letter to the investigator</w:t>
      </w:r>
      <w:r>
        <w:t>.</w:t>
      </w:r>
    </w:p>
    <w:p w14:paraId="76AE3BE2" w14:textId="17691117" w:rsidR="00B109DB" w:rsidRDefault="006A2921">
      <w:pPr>
        <w:pStyle w:val="ListParagraph"/>
        <w:numPr>
          <w:ilvl w:val="1"/>
          <w:numId w:val="1"/>
        </w:numPr>
        <w:tabs>
          <w:tab w:val="left" w:pos="1595"/>
          <w:tab w:val="left" w:pos="1603"/>
        </w:tabs>
        <w:ind w:left="1603" w:right="569" w:hanging="577"/>
      </w:pPr>
      <w:r>
        <w:t>All</w:t>
      </w:r>
      <w:r>
        <w:rPr>
          <w:spacing w:val="-5"/>
        </w:rPr>
        <w:t xml:space="preserve"> </w:t>
      </w:r>
      <w:r>
        <w:t>exemption</w:t>
      </w:r>
      <w:r>
        <w:rPr>
          <w:spacing w:val="-5"/>
        </w:rPr>
        <w:t xml:space="preserve"> </w:t>
      </w:r>
      <w:r>
        <w:t>determinations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communicated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investigator,</w:t>
      </w:r>
      <w:r>
        <w:rPr>
          <w:spacing w:val="-5"/>
        </w:rPr>
        <w:t xml:space="preserve"> </w:t>
      </w:r>
      <w:r>
        <w:t>and includes the applicable category(</w:t>
      </w:r>
      <w:proofErr w:type="spellStart"/>
      <w:r>
        <w:t>ies</w:t>
      </w:r>
      <w:proofErr w:type="spellEnd"/>
      <w:r>
        <w:t>) justifying the exemption determination.</w:t>
      </w:r>
    </w:p>
    <w:p w14:paraId="12E2A9C1" w14:textId="77777777" w:rsidR="00C032AD" w:rsidRDefault="00C032AD" w:rsidP="00C032AD">
      <w:pPr>
        <w:pStyle w:val="ListParagraph"/>
        <w:tabs>
          <w:tab w:val="left" w:pos="1595"/>
          <w:tab w:val="left" w:pos="1603"/>
        </w:tabs>
        <w:spacing w:before="45"/>
        <w:ind w:right="144" w:firstLine="0"/>
      </w:pPr>
    </w:p>
    <w:p w14:paraId="76AE3BE5" w14:textId="73C63507" w:rsidR="00B109DB" w:rsidRDefault="006A2921">
      <w:pPr>
        <w:pStyle w:val="ListParagraph"/>
        <w:numPr>
          <w:ilvl w:val="1"/>
          <w:numId w:val="1"/>
        </w:numPr>
        <w:tabs>
          <w:tab w:val="left" w:pos="1595"/>
          <w:tab w:val="left" w:pos="1603"/>
        </w:tabs>
        <w:spacing w:before="45"/>
        <w:ind w:left="1603" w:right="144" w:hanging="577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4E3B2A">
        <w:t>RIRC</w:t>
      </w:r>
      <w:r>
        <w:rPr>
          <w:spacing w:val="-3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 xml:space="preserve">determination, including limited review, the </w:t>
      </w:r>
      <w:r w:rsidR="004E3B2A">
        <w:t>R</w:t>
      </w:r>
      <w:r w:rsidR="002F4E10">
        <w:t>RO</w:t>
      </w:r>
      <w:r>
        <w:t xml:space="preserve"> reviewer will move the application to an expedited or convened board review. The research may only be tabled or disapproved by the convened </w:t>
      </w:r>
      <w:r w:rsidR="004E3B2A">
        <w:t>RIRC</w:t>
      </w:r>
      <w:r>
        <w:t>.</w:t>
      </w:r>
    </w:p>
    <w:p w14:paraId="76AE3BE6" w14:textId="77777777" w:rsidR="00B109DB" w:rsidRDefault="00B109DB">
      <w:pPr>
        <w:pStyle w:val="BodyText"/>
        <w:rPr>
          <w:sz w:val="16"/>
        </w:rPr>
      </w:pPr>
    </w:p>
    <w:p w14:paraId="76AE3C04" w14:textId="77777777" w:rsidR="00B109DB" w:rsidRDefault="00B109DB">
      <w:pPr>
        <w:pStyle w:val="BodyText"/>
        <w:rPr>
          <w:sz w:val="16"/>
        </w:rPr>
      </w:pPr>
    </w:p>
    <w:p w14:paraId="76AE3C05" w14:textId="77777777" w:rsidR="00B109DB" w:rsidRDefault="00B109DB">
      <w:pPr>
        <w:pStyle w:val="BodyText"/>
        <w:rPr>
          <w:sz w:val="16"/>
        </w:rPr>
      </w:pPr>
    </w:p>
    <w:p w14:paraId="76AE3C06" w14:textId="77777777" w:rsidR="00B109DB" w:rsidRDefault="00B109DB">
      <w:pPr>
        <w:pStyle w:val="BodyText"/>
        <w:rPr>
          <w:sz w:val="16"/>
        </w:rPr>
      </w:pPr>
    </w:p>
    <w:p w14:paraId="76AE3C15" w14:textId="77777777" w:rsidR="00B109DB" w:rsidRDefault="00B109DB">
      <w:pPr>
        <w:pStyle w:val="BodyText"/>
        <w:rPr>
          <w:sz w:val="16"/>
        </w:rPr>
      </w:pPr>
    </w:p>
    <w:p w14:paraId="76AE3C16" w14:textId="77777777" w:rsidR="00B109DB" w:rsidRDefault="00B109DB">
      <w:pPr>
        <w:pStyle w:val="BodyText"/>
        <w:rPr>
          <w:sz w:val="16"/>
        </w:rPr>
      </w:pPr>
    </w:p>
    <w:p w14:paraId="76AE3C17" w14:textId="77777777" w:rsidR="00B109DB" w:rsidRDefault="00B109DB">
      <w:pPr>
        <w:pStyle w:val="BodyText"/>
        <w:rPr>
          <w:sz w:val="16"/>
        </w:rPr>
      </w:pPr>
    </w:p>
    <w:p w14:paraId="76AE3C18" w14:textId="77777777" w:rsidR="00B109DB" w:rsidRDefault="00B109DB">
      <w:pPr>
        <w:pStyle w:val="BodyText"/>
        <w:rPr>
          <w:sz w:val="16"/>
        </w:rPr>
      </w:pPr>
    </w:p>
    <w:sectPr w:rsidR="00B109DB">
      <w:headerReference w:type="default" r:id="rId10"/>
      <w:footerReference w:type="default" r:id="rId11"/>
      <w:pgSz w:w="12240" w:h="15840"/>
      <w:pgMar w:top="1820" w:right="1340" w:bottom="1460" w:left="1320" w:header="720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3C26" w14:textId="77777777" w:rsidR="006A2921" w:rsidRDefault="006A2921">
      <w:r>
        <w:separator/>
      </w:r>
    </w:p>
  </w:endnote>
  <w:endnote w:type="continuationSeparator" w:id="0">
    <w:p w14:paraId="76AE3C28" w14:textId="77777777" w:rsidR="006A2921" w:rsidRDefault="006A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3C21" w14:textId="77777777" w:rsidR="006A2921" w:rsidRDefault="006A29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6AE3C26" wp14:editId="76AE3C27">
              <wp:simplePos x="0" y="0"/>
              <wp:positionH relativeFrom="page">
                <wp:posOffset>901700</wp:posOffset>
              </wp:positionH>
              <wp:positionV relativeFrom="page">
                <wp:posOffset>9113202</wp:posOffset>
              </wp:positionV>
              <wp:extent cx="2446655" cy="250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665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E3C2C" w14:textId="77777777" w:rsidR="006A2921" w:rsidRDefault="006A2921">
                          <w:pPr>
                            <w:spacing w:line="182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401b: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Activities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Exempt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from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Review</w:t>
                          </w:r>
                        </w:p>
                        <w:p w14:paraId="76AE3C2D" w14:textId="1728F585" w:rsidR="006A2921" w:rsidRDefault="003F45EA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 date 03-15-2024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E3C2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1pt;margin-top:717.55pt;width:192.65pt;height:19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" filled="f" stroked="f">
              <v:textbox inset="0,0,0,0">
                <w:txbxContent>
                  <w:p w14:paraId="76AE3C2C" w14:textId="77777777" w:rsidR="006A2921" w:rsidRDefault="006A2921">
                    <w:pPr>
                      <w:spacing w:line="182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401b: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Activities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Exempt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from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Review</w:t>
                    </w:r>
                  </w:p>
                  <w:p w14:paraId="76AE3C2D" w14:textId="1728F585" w:rsidR="006A2921" w:rsidRDefault="003F45EA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 date 03-15-2024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AE3C28" wp14:editId="76AE3C29">
              <wp:simplePos x="0" y="0"/>
              <wp:positionH relativeFrom="page">
                <wp:posOffset>3702050</wp:posOffset>
              </wp:positionH>
              <wp:positionV relativeFrom="page">
                <wp:posOffset>9355328</wp:posOffset>
              </wp:positionV>
              <wp:extent cx="368300" cy="101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E3C2E" w14:textId="77777777" w:rsidR="006A2921" w:rsidRDefault="006A2921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E3C28" id="Textbox 4" o:spid="_x0000_s1030" type="#_x0000_t202" style="position:absolute;margin-left:291.5pt;margin-top:736.65pt;width:29pt;height: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" filled="f" stroked="f">
              <v:textbox inset="0,0,0,0">
                <w:txbxContent>
                  <w:p w14:paraId="76AE3C2E" w14:textId="77777777" w:rsidR="006A2921" w:rsidRDefault="006A2921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3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3C22" w14:textId="77777777" w:rsidR="006A2921" w:rsidRDefault="006A2921">
      <w:r>
        <w:separator/>
      </w:r>
    </w:p>
  </w:footnote>
  <w:footnote w:type="continuationSeparator" w:id="0">
    <w:p w14:paraId="76AE3C24" w14:textId="77777777" w:rsidR="006A2921" w:rsidRDefault="006A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3C20" w14:textId="6606E764" w:rsidR="006A2921" w:rsidRDefault="006A292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72A7"/>
    <w:multiLevelType w:val="hybridMultilevel"/>
    <w:tmpl w:val="8D3CC9B2"/>
    <w:lvl w:ilvl="0" w:tplc="4538EF94">
      <w:start w:val="1"/>
      <w:numFmt w:val="upperLetter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B3024B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F6A6C72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D4066A32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63146CA8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E0E8D0B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1C4627DA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6498AE5C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AE06973C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3666A1"/>
    <w:multiLevelType w:val="multilevel"/>
    <w:tmpl w:val="B35AFA56"/>
    <w:lvl w:ilvl="0">
      <w:start w:val="1"/>
      <w:numFmt w:val="decimal"/>
      <w:lvlText w:val="%1."/>
      <w:lvlJc w:val="left"/>
      <w:pPr>
        <w:ind w:left="76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95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86" w:hanging="5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3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0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6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0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6" w:hanging="569"/>
      </w:pPr>
      <w:rPr>
        <w:rFonts w:hint="default"/>
        <w:lang w:val="en-US" w:eastAsia="en-US" w:bidi="ar-SA"/>
      </w:rPr>
    </w:lvl>
  </w:abstractNum>
  <w:num w:numId="1" w16cid:durableId="963123961">
    <w:abstractNumId w:val="1"/>
  </w:num>
  <w:num w:numId="2" w16cid:durableId="114466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B"/>
    <w:rsid w:val="00286CC0"/>
    <w:rsid w:val="002F4E10"/>
    <w:rsid w:val="003F45EA"/>
    <w:rsid w:val="0041201D"/>
    <w:rsid w:val="004E3B2A"/>
    <w:rsid w:val="006A2921"/>
    <w:rsid w:val="006F6ECC"/>
    <w:rsid w:val="00A621AD"/>
    <w:rsid w:val="00A76784"/>
    <w:rsid w:val="00B109DB"/>
    <w:rsid w:val="00B9004A"/>
    <w:rsid w:val="00C0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E3BBB"/>
  <w15:docId w15:val="{BCCB07AC-236B-413D-922E-B7345D77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6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1603" w:hanging="57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3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B2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3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B2A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A76784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Props1.xml><?xml version="1.0" encoding="utf-8"?>
<ds:datastoreItem xmlns:ds="http://schemas.openxmlformats.org/officeDocument/2006/customXml" ds:itemID="{D5464E08-F963-4443-A0A6-91B77A242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9354E-2352-4EAA-9FF8-4005FA464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215AD-BE59-447E-9F89-95361DF73CAA}">
  <ds:schemaRefs>
    <ds:schemaRef ds:uri="4453b6c3-2045-4d26-88bc-30339f4f6f92"/>
    <ds:schemaRef ds:uri="http://schemas.microsoft.com/office/infopath/2007/PartnerControls"/>
    <ds:schemaRef ds:uri="b7231b89-4636-4e87-bf18-5864c59853ef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Rigtrup</dc:creator>
  <dc:description/>
  <cp:lastModifiedBy>Lin-DeShetler, Denise</cp:lastModifiedBy>
  <cp:revision>3</cp:revision>
  <dcterms:created xsi:type="dcterms:W3CDTF">2024-04-09T04:54:00Z</dcterms:created>
  <dcterms:modified xsi:type="dcterms:W3CDTF">2024-04-09T04:54:00Z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2024-02-18T00:00:00Z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D:20230407143723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2024-04-05T23:33:30Z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661c856c-0677-4322-aecd-492f36071f80</vt:lpwstr>
  </property>
  <property fmtid="{D5CDD505-2E9C-101B-9397-08002B2CF9AE}" pid="14" name="MSIP_Label_bfe2c8f9-1977-4483-bc2a-a0132c8c75ea_ContentBits">
    <vt:lpwstr>0</vt:lpwstr>
  </property>
</Properties>
</file>