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8499" w14:textId="77777777" w:rsidR="004E7A6D" w:rsidRDefault="004E7A6D">
      <w:pPr>
        <w:pStyle w:val="BodyText"/>
        <w:spacing w:before="57"/>
        <w:rPr>
          <w:rFonts w:ascii="Times New Roman"/>
          <w:sz w:val="20"/>
        </w:rPr>
      </w:pPr>
    </w:p>
    <w:p w14:paraId="22C2849A" w14:textId="77777777" w:rsidR="004E7A6D" w:rsidRDefault="008149D8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2C284DB" wp14:editId="22C284DC">
                <wp:extent cx="5943600" cy="401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284E7" w14:textId="77777777" w:rsidR="004E7A6D" w:rsidRDefault="008149D8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306: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HOC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CONSULTANT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REVIEWERS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284DB" id="Group 5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">
                <v:shape id="Graphic 6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C284E7" w14:textId="77777777" w:rsidR="004E7A6D" w:rsidRDefault="008149D8">
                        <w:pPr>
                          <w:spacing w:before="12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306: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HOC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CONSULTANT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REVIEWERS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C2849B" w14:textId="77777777" w:rsidR="004E7A6D" w:rsidRDefault="008149D8">
      <w:pPr>
        <w:pStyle w:val="Heading1"/>
        <w:spacing w:before="230" w:line="268" w:lineRule="exact"/>
      </w:pPr>
      <w:r>
        <w:rPr>
          <w:spacing w:val="-2"/>
        </w:rPr>
        <w:t>PURPOSE</w:t>
      </w:r>
    </w:p>
    <w:p w14:paraId="22C2849C" w14:textId="64EAA456" w:rsidR="004E7A6D" w:rsidRDefault="008149D8">
      <w:pPr>
        <w:pStyle w:val="BodyText"/>
        <w:ind w:left="100"/>
      </w:pPr>
      <w:r>
        <w:t xml:space="preserve">The </w:t>
      </w:r>
      <w:r w:rsidR="00425543">
        <w:t xml:space="preserve">Queen’s Medical Center Research </w:t>
      </w:r>
      <w:r>
        <w:t>Institutional Review</w:t>
      </w:r>
      <w:r w:rsidR="00425543">
        <w:t xml:space="preserve"> Committee</w:t>
      </w:r>
      <w:r>
        <w:t xml:space="preserve"> (</w:t>
      </w:r>
      <w:r w:rsidR="00425543">
        <w:t>RIRC</w:t>
      </w:r>
      <w:r>
        <w:t>) is composed of members in accordance with federal</w:t>
      </w:r>
      <w:r>
        <w:rPr>
          <w:spacing w:val="-4"/>
        </w:rPr>
        <w:t xml:space="preserve"> </w:t>
      </w:r>
      <w:r>
        <w:t>regulations.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25543">
        <w:t>Queen’s Medical Center RIRC</w:t>
      </w:r>
      <w:r>
        <w:rPr>
          <w:spacing w:val="-2"/>
        </w:rPr>
        <w:t xml:space="preserve"> </w:t>
      </w:r>
      <w:r>
        <w:t>lacks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hoc consultant reviewers may be utilized.</w:t>
      </w:r>
    </w:p>
    <w:p w14:paraId="22C2849D" w14:textId="77777777" w:rsidR="004E7A6D" w:rsidRDefault="004E7A6D">
      <w:pPr>
        <w:pStyle w:val="BodyText"/>
        <w:spacing w:before="1"/>
      </w:pPr>
    </w:p>
    <w:p w14:paraId="22C2849E" w14:textId="77777777" w:rsidR="004E7A6D" w:rsidRDefault="008149D8">
      <w:pPr>
        <w:pStyle w:val="Heading1"/>
        <w:spacing w:line="268" w:lineRule="exact"/>
      </w:pPr>
      <w:r>
        <w:rPr>
          <w:spacing w:val="-2"/>
        </w:rPr>
        <w:t>SCOPE</w:t>
      </w:r>
    </w:p>
    <w:p w14:paraId="22C2849F" w14:textId="0DC4F6FC" w:rsidR="004E7A6D" w:rsidRDefault="008149D8">
      <w:pPr>
        <w:pStyle w:val="BodyText"/>
        <w:spacing w:line="268" w:lineRule="exact"/>
        <w:ind w:left="100"/>
      </w:pPr>
      <w:r>
        <w:t>This</w:t>
      </w:r>
      <w:r>
        <w:rPr>
          <w:spacing w:val="-6"/>
        </w:rPr>
        <w:t xml:space="preserve"> </w:t>
      </w:r>
      <w:r>
        <w:t>SOP</w:t>
      </w:r>
      <w:r>
        <w:rPr>
          <w:spacing w:val="-5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425543">
        <w:t xml:space="preserve">Queen’s Medical Center </w:t>
      </w:r>
      <w:r w:rsidR="00425543">
        <w:rPr>
          <w:spacing w:val="-4"/>
        </w:rPr>
        <w:t>RIRC</w:t>
      </w:r>
      <w:r>
        <w:rPr>
          <w:spacing w:val="-4"/>
        </w:rPr>
        <w:t>.</w:t>
      </w:r>
    </w:p>
    <w:p w14:paraId="22C284A0" w14:textId="77777777" w:rsidR="004E7A6D" w:rsidRDefault="004E7A6D">
      <w:pPr>
        <w:pStyle w:val="BodyText"/>
      </w:pPr>
    </w:p>
    <w:p w14:paraId="22C284A1" w14:textId="77777777" w:rsidR="004E7A6D" w:rsidRDefault="008149D8">
      <w:pPr>
        <w:pStyle w:val="Heading1"/>
      </w:pPr>
      <w:r>
        <w:rPr>
          <w:spacing w:val="-2"/>
        </w:rPr>
        <w:t>POLICY</w:t>
      </w:r>
    </w:p>
    <w:p w14:paraId="22C284A2" w14:textId="3CAC4039" w:rsidR="004E7A6D" w:rsidRDefault="008149D8">
      <w:pPr>
        <w:pStyle w:val="BodyText"/>
        <w:ind w:left="100" w:right="199"/>
      </w:pPr>
      <w:r>
        <w:t xml:space="preserve">The </w:t>
      </w:r>
      <w:r w:rsidR="00425543">
        <w:t>Queen’s Medical Center RIRC</w:t>
      </w:r>
      <w:r>
        <w:t xml:space="preserve">, at its discretion, may invite individuals with competence in special areas to assist in the review of issues which require expertise beyond, or in addition to, that of available </w:t>
      </w:r>
      <w:r w:rsidR="00425543">
        <w:t>RIRC</w:t>
      </w:r>
      <w:r>
        <w:t xml:space="preserve"> panel members. Ad hoc consultants are not voting members of the </w:t>
      </w:r>
      <w:r w:rsidR="00425543">
        <w:t>RIRC</w:t>
      </w:r>
      <w:r>
        <w:t xml:space="preserve">. Ad hoc consultants are subject to the </w:t>
      </w:r>
      <w:r w:rsidR="00425543">
        <w:t>RIRC</w:t>
      </w:r>
      <w:r>
        <w:t xml:space="preserve">’s policy regarding conflicts of interest and confidentiality (see </w:t>
      </w:r>
      <w:r w:rsidR="00425543">
        <w:t>RIRC</w:t>
      </w:r>
      <w:r>
        <w:t xml:space="preserve"> SOP 304: Convened </w:t>
      </w:r>
      <w:r w:rsidR="00425543">
        <w:t>RIRC</w:t>
      </w:r>
      <w:r>
        <w:t xml:space="preserve"> Meeting</w:t>
      </w:r>
      <w:r>
        <w:rPr>
          <w:spacing w:val="-3"/>
        </w:rPr>
        <w:t xml:space="preserve"> </w:t>
      </w:r>
      <w:r>
        <w:t>Administration).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3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being </w:t>
      </w:r>
      <w:r>
        <w:rPr>
          <w:spacing w:val="-2"/>
        </w:rPr>
        <w:t>conducted.</w:t>
      </w:r>
    </w:p>
    <w:p w14:paraId="22C284A3" w14:textId="77777777" w:rsidR="004E7A6D" w:rsidRDefault="004E7A6D">
      <w:pPr>
        <w:pStyle w:val="BodyText"/>
        <w:spacing w:before="120"/>
      </w:pPr>
    </w:p>
    <w:p w14:paraId="22C284A4" w14:textId="77777777" w:rsidR="004E7A6D" w:rsidRDefault="008149D8">
      <w:pPr>
        <w:pStyle w:val="Heading1"/>
      </w:pPr>
      <w:r>
        <w:rPr>
          <w:spacing w:val="-2"/>
        </w:rPr>
        <w:t>PROCEDURES</w:t>
      </w:r>
    </w:p>
    <w:p w14:paraId="22C284A5" w14:textId="77777777" w:rsidR="004E7A6D" w:rsidRDefault="004E7A6D">
      <w:pPr>
        <w:pStyle w:val="BodyText"/>
        <w:rPr>
          <w:b/>
        </w:rPr>
      </w:pPr>
    </w:p>
    <w:p w14:paraId="22C284A6" w14:textId="77777777" w:rsidR="004E7A6D" w:rsidRDefault="008149D8">
      <w:pPr>
        <w:pStyle w:val="ListParagraph"/>
        <w:numPr>
          <w:ilvl w:val="0"/>
          <w:numId w:val="1"/>
        </w:numPr>
        <w:tabs>
          <w:tab w:val="left" w:pos="746"/>
        </w:tabs>
        <w:spacing w:before="0"/>
        <w:ind w:left="746" w:hanging="358"/>
        <w:rPr>
          <w:b/>
        </w:rPr>
      </w:pPr>
      <w:r>
        <w:rPr>
          <w:b/>
          <w:spacing w:val="-2"/>
        </w:rPr>
        <w:t>Obtaining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Additional</w:t>
      </w:r>
      <w:r>
        <w:rPr>
          <w:b/>
          <w:spacing w:val="6"/>
        </w:rPr>
        <w:t xml:space="preserve"> </w:t>
      </w:r>
      <w:r>
        <w:rPr>
          <w:b/>
          <w:spacing w:val="-2"/>
        </w:rPr>
        <w:t>Expertise</w:t>
      </w:r>
    </w:p>
    <w:p w14:paraId="22C284A7" w14:textId="3728A8D1" w:rsidR="004E7A6D" w:rsidRDefault="008149D8">
      <w:pPr>
        <w:pStyle w:val="ListParagraph"/>
        <w:numPr>
          <w:ilvl w:val="1"/>
          <w:numId w:val="1"/>
        </w:numPr>
        <w:tabs>
          <w:tab w:val="left" w:pos="1324"/>
        </w:tabs>
        <w:ind w:right="247"/>
      </w:pPr>
      <w:r>
        <w:t>It is the responsibility of the primary reviewer to make the determination that a consultation for additional expertise is needed beyond the expertise available to the</w:t>
      </w:r>
      <w:r w:rsidR="00425543">
        <w:t xml:space="preserve"> committee</w:t>
      </w:r>
      <w:r>
        <w:t>. The primary reviewer contacts the secondary reviewer (if applicable) to notify him/her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notifies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25543">
        <w:t>RIRC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425543">
        <w:t>RIRC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manner (i.e., before the convened meeting, if possible).</w:t>
      </w:r>
    </w:p>
    <w:p w14:paraId="22C284A8" w14:textId="048404EC" w:rsidR="004E7A6D" w:rsidRDefault="008149D8">
      <w:pPr>
        <w:pStyle w:val="ListParagraph"/>
        <w:numPr>
          <w:ilvl w:val="1"/>
          <w:numId w:val="1"/>
        </w:numPr>
        <w:tabs>
          <w:tab w:val="left" w:pos="1324"/>
        </w:tabs>
        <w:ind w:right="164" w:hanging="576"/>
      </w:pPr>
      <w:r>
        <w:t xml:space="preserve">The primary reviewer may consult with a known expert in the field or contact </w:t>
      </w:r>
      <w:r w:rsidR="00425543">
        <w:t>R</w:t>
      </w:r>
      <w:r w:rsidR="003C5978">
        <w:t>RO</w:t>
      </w:r>
      <w:r>
        <w:t xml:space="preserve"> staff for assistance in obtaining an ad hoc consultant reviewer.</w:t>
      </w:r>
    </w:p>
    <w:p w14:paraId="22C284A9" w14:textId="417239FC" w:rsidR="004E7A6D" w:rsidRDefault="008149D8">
      <w:pPr>
        <w:pStyle w:val="ListParagraph"/>
        <w:numPr>
          <w:ilvl w:val="1"/>
          <w:numId w:val="1"/>
        </w:numPr>
        <w:tabs>
          <w:tab w:val="left" w:pos="1324"/>
        </w:tabs>
        <w:ind w:right="124"/>
      </w:pPr>
      <w:r>
        <w:t>If additional expertise is requested during the convened</w:t>
      </w:r>
      <w:r w:rsidR="00E85792">
        <w:t xml:space="preserve"> </w:t>
      </w:r>
      <w:r w:rsidR="00425543">
        <w:t>committee</w:t>
      </w:r>
      <w:r>
        <w:t xml:space="preserve"> review of a study, discussion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deferred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</w:t>
      </w:r>
      <w:r>
        <w:rPr>
          <w:spacing w:val="-4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 more information. The study will be reviewed a</w:t>
      </w:r>
      <w:r w:rsidR="001C67ED">
        <w:t>fter a consultant provides a review</w:t>
      </w:r>
      <w:r>
        <w:t>.</w:t>
      </w:r>
    </w:p>
    <w:p w14:paraId="22C284AA" w14:textId="4977E66B" w:rsidR="004E7A6D" w:rsidRDefault="008149D8">
      <w:pPr>
        <w:pStyle w:val="ListParagraph"/>
        <w:numPr>
          <w:ilvl w:val="1"/>
          <w:numId w:val="1"/>
        </w:numPr>
        <w:tabs>
          <w:tab w:val="left" w:pos="1324"/>
        </w:tabs>
        <w:ind w:right="270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scholarly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in- depth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  <w:r>
        <w:rPr>
          <w:spacing w:val="-1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available,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 xml:space="preserve">be deferred to another </w:t>
      </w:r>
      <w:r w:rsidR="00425543">
        <w:t>RIRC</w:t>
      </w:r>
      <w:r>
        <w:t xml:space="preserve"> meeting where the appropriate consultation or expertise is available for in-depth review of a protocol.</w:t>
      </w:r>
      <w:r w:rsidR="001C67ED">
        <w:t xml:space="preserve"> In addition, an external IRB may be used.</w:t>
      </w:r>
    </w:p>
    <w:p w14:paraId="68E5CB28" w14:textId="77777777" w:rsidR="00E85792" w:rsidRDefault="00E85792" w:rsidP="00E85792">
      <w:pPr>
        <w:pStyle w:val="ListParagraph"/>
        <w:tabs>
          <w:tab w:val="left" w:pos="1324"/>
        </w:tabs>
        <w:ind w:right="270" w:firstLine="0"/>
      </w:pPr>
    </w:p>
    <w:p w14:paraId="22C284AE" w14:textId="77777777" w:rsidR="004E7A6D" w:rsidRDefault="008149D8">
      <w:pPr>
        <w:pStyle w:val="Heading1"/>
        <w:numPr>
          <w:ilvl w:val="0"/>
          <w:numId w:val="1"/>
        </w:numPr>
        <w:tabs>
          <w:tab w:val="left" w:pos="746"/>
        </w:tabs>
        <w:spacing w:before="45"/>
        <w:ind w:left="746" w:hanging="358"/>
      </w:pP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Materials</w:t>
      </w:r>
    </w:p>
    <w:p w14:paraId="22C284AF" w14:textId="57BD7FF7" w:rsidR="004E7A6D" w:rsidRDefault="008149D8">
      <w:pPr>
        <w:pStyle w:val="ListParagraph"/>
        <w:numPr>
          <w:ilvl w:val="1"/>
          <w:numId w:val="1"/>
        </w:numPr>
        <w:tabs>
          <w:tab w:val="left" w:pos="1323"/>
        </w:tabs>
        <w:spacing w:before="119"/>
        <w:ind w:left="1323" w:right="169"/>
      </w:pPr>
      <w:r>
        <w:t>Ad hoc consultants are provided with relevant printed materials (either hard copy or electronic format) submitted by the Investigator and any other materials</w:t>
      </w:r>
      <w:r>
        <w:rPr>
          <w:spacing w:val="-1"/>
        </w:rPr>
        <w:t xml:space="preserve"> </w:t>
      </w:r>
      <w:r>
        <w:t xml:space="preserve">requested by the </w:t>
      </w:r>
      <w:r w:rsidR="00425543">
        <w:t>RIRC</w:t>
      </w:r>
      <w:r>
        <w:t xml:space="preserve"> (see </w:t>
      </w:r>
      <w:r w:rsidR="00425543">
        <w:t>RIRC</w:t>
      </w:r>
      <w:r>
        <w:t xml:space="preserve"> SOP 301: Research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Requirements).</w:t>
      </w:r>
      <w:r>
        <w:rPr>
          <w:spacing w:val="-1"/>
        </w:rPr>
        <w:t xml:space="preserve"> </w:t>
      </w:r>
      <w:r>
        <w:t xml:space="preserve">Ad hoc consultants must review the materials and provide the </w:t>
      </w:r>
      <w:r w:rsidR="00425543">
        <w:t>RIRC</w:t>
      </w:r>
      <w:r>
        <w:t xml:space="preserve"> with a written assessment and evaluation of a </w:t>
      </w:r>
      <w:r>
        <w:lastRenderedPageBreak/>
        <w:t xml:space="preserve">risk-benefit ratio, any ethical concerns, identify any additional safety concerns or procedures which may pose serious harm to subjects, and respond to other specific requests made by the </w:t>
      </w:r>
      <w:r w:rsidR="00425543">
        <w:t>RIRC</w:t>
      </w:r>
      <w:r>
        <w:t xml:space="preserve">. The </w:t>
      </w:r>
      <w:r w:rsidR="003C5978">
        <w:t>RRO</w:t>
      </w:r>
      <w:r>
        <w:t xml:space="preserve"> administrator</w:t>
      </w:r>
      <w:r>
        <w:rPr>
          <w:spacing w:val="-4"/>
        </w:rPr>
        <w:t xml:space="preserve"> </w:t>
      </w:r>
      <w:r>
        <w:t>attaches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 xml:space="preserve">for accessibility and may summarize the consultant’s review </w:t>
      </w:r>
      <w:r w:rsidR="00E85792">
        <w:t>i</w:t>
      </w:r>
      <w:r>
        <w:t>n the minutes at a convened</w:t>
      </w:r>
      <w:r w:rsidR="00E85792">
        <w:t xml:space="preserve"> </w:t>
      </w:r>
      <w:r w:rsidR="00425543">
        <w:t>committee</w:t>
      </w:r>
      <w:r>
        <w:t xml:space="preserve"> meeting.</w:t>
      </w:r>
    </w:p>
    <w:p w14:paraId="22C284B0" w14:textId="77777777" w:rsidR="004E7A6D" w:rsidRDefault="004E7A6D">
      <w:pPr>
        <w:pStyle w:val="BodyText"/>
        <w:rPr>
          <w:sz w:val="16"/>
        </w:rPr>
      </w:pPr>
    </w:p>
    <w:p w14:paraId="22C284B1" w14:textId="77777777" w:rsidR="004E7A6D" w:rsidRDefault="004E7A6D">
      <w:pPr>
        <w:pStyle w:val="BodyText"/>
        <w:rPr>
          <w:sz w:val="16"/>
        </w:rPr>
      </w:pPr>
    </w:p>
    <w:p w14:paraId="22C284B2" w14:textId="77777777" w:rsidR="004E7A6D" w:rsidRDefault="004E7A6D">
      <w:pPr>
        <w:pStyle w:val="BodyText"/>
        <w:rPr>
          <w:sz w:val="16"/>
        </w:rPr>
      </w:pPr>
    </w:p>
    <w:p w14:paraId="22C284B3" w14:textId="77777777" w:rsidR="004E7A6D" w:rsidRDefault="004E7A6D">
      <w:pPr>
        <w:pStyle w:val="BodyText"/>
        <w:rPr>
          <w:sz w:val="16"/>
        </w:rPr>
      </w:pPr>
    </w:p>
    <w:p w14:paraId="22C284B4" w14:textId="77777777" w:rsidR="004E7A6D" w:rsidRDefault="004E7A6D">
      <w:pPr>
        <w:pStyle w:val="BodyText"/>
        <w:rPr>
          <w:sz w:val="16"/>
        </w:rPr>
      </w:pPr>
    </w:p>
    <w:p w14:paraId="22C284B5" w14:textId="77777777" w:rsidR="004E7A6D" w:rsidRDefault="004E7A6D">
      <w:pPr>
        <w:pStyle w:val="BodyText"/>
        <w:rPr>
          <w:sz w:val="16"/>
        </w:rPr>
      </w:pPr>
    </w:p>
    <w:p w14:paraId="22C284B6" w14:textId="77777777" w:rsidR="004E7A6D" w:rsidRDefault="004E7A6D">
      <w:pPr>
        <w:pStyle w:val="BodyText"/>
        <w:rPr>
          <w:sz w:val="16"/>
        </w:rPr>
      </w:pPr>
    </w:p>
    <w:p w14:paraId="22C284B7" w14:textId="77777777" w:rsidR="004E7A6D" w:rsidRDefault="004E7A6D">
      <w:pPr>
        <w:pStyle w:val="BodyText"/>
        <w:rPr>
          <w:sz w:val="16"/>
        </w:rPr>
      </w:pPr>
    </w:p>
    <w:p w14:paraId="22C284B8" w14:textId="77777777" w:rsidR="004E7A6D" w:rsidRDefault="004E7A6D">
      <w:pPr>
        <w:pStyle w:val="BodyText"/>
        <w:rPr>
          <w:sz w:val="16"/>
        </w:rPr>
      </w:pPr>
    </w:p>
    <w:p w14:paraId="22C284B9" w14:textId="77777777" w:rsidR="004E7A6D" w:rsidRDefault="004E7A6D">
      <w:pPr>
        <w:pStyle w:val="BodyText"/>
        <w:rPr>
          <w:sz w:val="16"/>
        </w:rPr>
      </w:pPr>
    </w:p>
    <w:p w14:paraId="22C284BA" w14:textId="77777777" w:rsidR="004E7A6D" w:rsidRDefault="004E7A6D">
      <w:pPr>
        <w:pStyle w:val="BodyText"/>
        <w:rPr>
          <w:sz w:val="16"/>
        </w:rPr>
      </w:pPr>
    </w:p>
    <w:p w14:paraId="22C284BB" w14:textId="77777777" w:rsidR="004E7A6D" w:rsidRDefault="004E7A6D">
      <w:pPr>
        <w:pStyle w:val="BodyText"/>
        <w:rPr>
          <w:sz w:val="16"/>
        </w:rPr>
      </w:pPr>
    </w:p>
    <w:p w14:paraId="22C284BC" w14:textId="77777777" w:rsidR="004E7A6D" w:rsidRDefault="004E7A6D">
      <w:pPr>
        <w:pStyle w:val="BodyText"/>
        <w:rPr>
          <w:sz w:val="16"/>
        </w:rPr>
      </w:pPr>
    </w:p>
    <w:p w14:paraId="22C284BD" w14:textId="77777777" w:rsidR="004E7A6D" w:rsidRDefault="004E7A6D">
      <w:pPr>
        <w:pStyle w:val="BodyText"/>
        <w:rPr>
          <w:sz w:val="16"/>
        </w:rPr>
      </w:pPr>
    </w:p>
    <w:p w14:paraId="22C284BE" w14:textId="77777777" w:rsidR="004E7A6D" w:rsidRDefault="004E7A6D">
      <w:pPr>
        <w:pStyle w:val="BodyText"/>
        <w:rPr>
          <w:sz w:val="16"/>
        </w:rPr>
      </w:pPr>
    </w:p>
    <w:p w14:paraId="22C284BF" w14:textId="77777777" w:rsidR="004E7A6D" w:rsidRDefault="004E7A6D">
      <w:pPr>
        <w:pStyle w:val="BodyText"/>
        <w:rPr>
          <w:sz w:val="16"/>
        </w:rPr>
      </w:pPr>
    </w:p>
    <w:p w14:paraId="22C284C0" w14:textId="77777777" w:rsidR="004E7A6D" w:rsidRDefault="004E7A6D">
      <w:pPr>
        <w:pStyle w:val="BodyText"/>
        <w:rPr>
          <w:sz w:val="16"/>
        </w:rPr>
      </w:pPr>
    </w:p>
    <w:p w14:paraId="22C284C1" w14:textId="77777777" w:rsidR="004E7A6D" w:rsidRDefault="004E7A6D">
      <w:pPr>
        <w:pStyle w:val="BodyText"/>
        <w:rPr>
          <w:sz w:val="16"/>
        </w:rPr>
      </w:pPr>
    </w:p>
    <w:p w14:paraId="22C284C2" w14:textId="77777777" w:rsidR="004E7A6D" w:rsidRDefault="004E7A6D">
      <w:pPr>
        <w:pStyle w:val="BodyText"/>
        <w:rPr>
          <w:sz w:val="16"/>
        </w:rPr>
      </w:pPr>
    </w:p>
    <w:p w14:paraId="22C284C3" w14:textId="77777777" w:rsidR="004E7A6D" w:rsidRDefault="004E7A6D">
      <w:pPr>
        <w:pStyle w:val="BodyText"/>
        <w:rPr>
          <w:sz w:val="16"/>
        </w:rPr>
      </w:pPr>
    </w:p>
    <w:p w14:paraId="22C284C4" w14:textId="77777777" w:rsidR="004E7A6D" w:rsidRDefault="004E7A6D">
      <w:pPr>
        <w:pStyle w:val="BodyText"/>
        <w:rPr>
          <w:sz w:val="16"/>
        </w:rPr>
      </w:pPr>
    </w:p>
    <w:p w14:paraId="22C284C5" w14:textId="77777777" w:rsidR="004E7A6D" w:rsidRDefault="004E7A6D">
      <w:pPr>
        <w:pStyle w:val="BodyText"/>
        <w:rPr>
          <w:sz w:val="16"/>
        </w:rPr>
      </w:pPr>
    </w:p>
    <w:p w14:paraId="22C284C6" w14:textId="77777777" w:rsidR="004E7A6D" w:rsidRDefault="004E7A6D">
      <w:pPr>
        <w:pStyle w:val="BodyText"/>
        <w:rPr>
          <w:sz w:val="16"/>
        </w:rPr>
      </w:pPr>
    </w:p>
    <w:p w14:paraId="22C284C7" w14:textId="77777777" w:rsidR="004E7A6D" w:rsidRDefault="004E7A6D">
      <w:pPr>
        <w:pStyle w:val="BodyText"/>
        <w:rPr>
          <w:sz w:val="16"/>
        </w:rPr>
      </w:pPr>
    </w:p>
    <w:p w14:paraId="22C284C8" w14:textId="77777777" w:rsidR="004E7A6D" w:rsidRDefault="004E7A6D">
      <w:pPr>
        <w:pStyle w:val="BodyText"/>
        <w:rPr>
          <w:sz w:val="16"/>
        </w:rPr>
      </w:pPr>
    </w:p>
    <w:p w14:paraId="22C284C9" w14:textId="77777777" w:rsidR="004E7A6D" w:rsidRDefault="004E7A6D">
      <w:pPr>
        <w:pStyle w:val="BodyText"/>
        <w:rPr>
          <w:sz w:val="16"/>
        </w:rPr>
      </w:pPr>
    </w:p>
    <w:p w14:paraId="22C284CA" w14:textId="77777777" w:rsidR="004E7A6D" w:rsidRDefault="004E7A6D">
      <w:pPr>
        <w:pStyle w:val="BodyText"/>
        <w:rPr>
          <w:sz w:val="16"/>
        </w:rPr>
      </w:pPr>
    </w:p>
    <w:p w14:paraId="22C284CB" w14:textId="77777777" w:rsidR="004E7A6D" w:rsidRDefault="004E7A6D">
      <w:pPr>
        <w:pStyle w:val="BodyText"/>
        <w:rPr>
          <w:sz w:val="16"/>
        </w:rPr>
      </w:pPr>
    </w:p>
    <w:p w14:paraId="22C284CC" w14:textId="77777777" w:rsidR="004E7A6D" w:rsidRDefault="004E7A6D">
      <w:pPr>
        <w:pStyle w:val="BodyText"/>
        <w:rPr>
          <w:sz w:val="16"/>
        </w:rPr>
      </w:pPr>
    </w:p>
    <w:p w14:paraId="22C284CD" w14:textId="77777777" w:rsidR="004E7A6D" w:rsidRDefault="004E7A6D">
      <w:pPr>
        <w:pStyle w:val="BodyText"/>
        <w:rPr>
          <w:sz w:val="16"/>
        </w:rPr>
      </w:pPr>
    </w:p>
    <w:p w14:paraId="22C284CE" w14:textId="77777777" w:rsidR="004E7A6D" w:rsidRDefault="004E7A6D">
      <w:pPr>
        <w:pStyle w:val="BodyText"/>
        <w:rPr>
          <w:sz w:val="16"/>
        </w:rPr>
      </w:pPr>
    </w:p>
    <w:p w14:paraId="22C284CF" w14:textId="77777777" w:rsidR="004E7A6D" w:rsidRDefault="004E7A6D">
      <w:pPr>
        <w:pStyle w:val="BodyText"/>
        <w:rPr>
          <w:sz w:val="16"/>
        </w:rPr>
      </w:pPr>
    </w:p>
    <w:p w14:paraId="22C284D0" w14:textId="77777777" w:rsidR="004E7A6D" w:rsidRDefault="004E7A6D">
      <w:pPr>
        <w:pStyle w:val="BodyText"/>
        <w:rPr>
          <w:sz w:val="16"/>
        </w:rPr>
      </w:pPr>
    </w:p>
    <w:p w14:paraId="22C284D1" w14:textId="77777777" w:rsidR="004E7A6D" w:rsidRDefault="004E7A6D">
      <w:pPr>
        <w:pStyle w:val="BodyText"/>
        <w:rPr>
          <w:sz w:val="16"/>
        </w:rPr>
      </w:pPr>
    </w:p>
    <w:p w14:paraId="22C284D2" w14:textId="77777777" w:rsidR="004E7A6D" w:rsidRDefault="004E7A6D">
      <w:pPr>
        <w:pStyle w:val="BodyText"/>
        <w:rPr>
          <w:sz w:val="16"/>
        </w:rPr>
      </w:pPr>
    </w:p>
    <w:p w14:paraId="22C284D3" w14:textId="77777777" w:rsidR="004E7A6D" w:rsidRDefault="004E7A6D">
      <w:pPr>
        <w:pStyle w:val="BodyText"/>
        <w:rPr>
          <w:sz w:val="16"/>
        </w:rPr>
      </w:pPr>
    </w:p>
    <w:p w14:paraId="22C284D4" w14:textId="77777777" w:rsidR="004E7A6D" w:rsidRDefault="004E7A6D">
      <w:pPr>
        <w:pStyle w:val="BodyText"/>
        <w:rPr>
          <w:sz w:val="16"/>
        </w:rPr>
      </w:pPr>
    </w:p>
    <w:p w14:paraId="22C284D5" w14:textId="77777777" w:rsidR="004E7A6D" w:rsidRDefault="004E7A6D">
      <w:pPr>
        <w:pStyle w:val="BodyText"/>
        <w:rPr>
          <w:sz w:val="16"/>
        </w:rPr>
      </w:pPr>
    </w:p>
    <w:p w14:paraId="22C284D6" w14:textId="77777777" w:rsidR="004E7A6D" w:rsidRDefault="004E7A6D">
      <w:pPr>
        <w:pStyle w:val="BodyText"/>
        <w:rPr>
          <w:sz w:val="16"/>
        </w:rPr>
      </w:pPr>
    </w:p>
    <w:p w14:paraId="22C284D7" w14:textId="77777777" w:rsidR="004E7A6D" w:rsidRDefault="004E7A6D">
      <w:pPr>
        <w:pStyle w:val="BodyText"/>
        <w:rPr>
          <w:sz w:val="16"/>
        </w:rPr>
      </w:pPr>
    </w:p>
    <w:p w14:paraId="22C284D8" w14:textId="77777777" w:rsidR="004E7A6D" w:rsidRDefault="004E7A6D">
      <w:pPr>
        <w:pStyle w:val="BodyText"/>
        <w:rPr>
          <w:sz w:val="16"/>
        </w:rPr>
      </w:pPr>
    </w:p>
    <w:p w14:paraId="22C284D9" w14:textId="77777777" w:rsidR="004E7A6D" w:rsidRDefault="004E7A6D">
      <w:pPr>
        <w:pStyle w:val="BodyText"/>
        <w:spacing w:before="167"/>
        <w:rPr>
          <w:sz w:val="16"/>
        </w:rPr>
      </w:pPr>
    </w:p>
    <w:sectPr w:rsidR="004E7A6D">
      <w:headerReference w:type="default" r:id="rId10"/>
      <w:footerReference w:type="default" r:id="rId11"/>
      <w:pgSz w:w="12240" w:h="15840"/>
      <w:pgMar w:top="1820" w:right="1340" w:bottom="1460" w:left="1340" w:header="72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84E3" w14:textId="77777777" w:rsidR="00116E50" w:rsidRDefault="008149D8">
      <w:r>
        <w:separator/>
      </w:r>
    </w:p>
  </w:endnote>
  <w:endnote w:type="continuationSeparator" w:id="0">
    <w:p w14:paraId="22C284E5" w14:textId="77777777" w:rsidR="00116E50" w:rsidRDefault="0081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4DE" w14:textId="77777777" w:rsidR="004E7A6D" w:rsidRDefault="008149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2C284E3" wp14:editId="22C284E4">
              <wp:simplePos x="0" y="0"/>
              <wp:positionH relativeFrom="page">
                <wp:posOffset>901700</wp:posOffset>
              </wp:positionH>
              <wp:positionV relativeFrom="page">
                <wp:posOffset>9113202</wp:posOffset>
              </wp:positionV>
              <wp:extent cx="1790700" cy="250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284E9" w14:textId="77777777" w:rsidR="004E7A6D" w:rsidRDefault="008149D8">
                          <w:pPr>
                            <w:spacing w:line="182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306: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Consultant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Reviewers</w:t>
                          </w:r>
                        </w:p>
                        <w:p w14:paraId="06DE7733" w14:textId="6145876D" w:rsidR="00011D67" w:rsidRDefault="00011D67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</w:t>
                          </w:r>
                          <w:r w:rsidR="003C5978">
                            <w:rPr>
                              <w:spacing w:val="-2"/>
                              <w:sz w:val="16"/>
                            </w:rPr>
                            <w:t>ersion 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4-</w:t>
                          </w:r>
                          <w:r w:rsidR="003C5978">
                            <w:rPr>
                              <w:spacing w:val="-2"/>
                              <w:sz w:val="16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5-2024</w:t>
                          </w:r>
                        </w:p>
                        <w:p w14:paraId="22C284EA" w14:textId="586C86F7" w:rsidR="004E7A6D" w:rsidRDefault="004E7A6D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284E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1pt;margin-top:717.55pt;width:141pt;height:19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" filled="f" stroked="f">
              <v:textbox inset="0,0,0,0">
                <w:txbxContent>
                  <w:p w14:paraId="22C284E9" w14:textId="77777777" w:rsidR="004E7A6D" w:rsidRDefault="008149D8">
                    <w:pPr>
                      <w:spacing w:line="182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306: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Consultant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Reviewers</w:t>
                    </w:r>
                  </w:p>
                  <w:p w14:paraId="06DE7733" w14:textId="6145876D" w:rsidR="00011D67" w:rsidRDefault="00011D67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</w:t>
                    </w:r>
                    <w:r w:rsidR="003C5978">
                      <w:rPr>
                        <w:spacing w:val="-2"/>
                        <w:sz w:val="16"/>
                      </w:rPr>
                      <w:t>ersion 0</w:t>
                    </w:r>
                    <w:r>
                      <w:rPr>
                        <w:spacing w:val="-2"/>
                        <w:sz w:val="16"/>
                      </w:rPr>
                      <w:t>4-</w:t>
                    </w:r>
                    <w:r w:rsidR="003C5978">
                      <w:rPr>
                        <w:spacing w:val="-2"/>
                        <w:sz w:val="16"/>
                      </w:rPr>
                      <w:t>0</w:t>
                    </w:r>
                    <w:r>
                      <w:rPr>
                        <w:spacing w:val="-2"/>
                        <w:sz w:val="16"/>
                      </w:rPr>
                      <w:t>5-2024</w:t>
                    </w:r>
                  </w:p>
                  <w:p w14:paraId="22C284EA" w14:textId="586C86F7" w:rsidR="004E7A6D" w:rsidRDefault="004E7A6D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C284E5" wp14:editId="22C284E6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284EB" w14:textId="77777777" w:rsidR="004E7A6D" w:rsidRDefault="008149D8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284E5" id="Textbox 4" o:spid="_x0000_s1030" type="#_x0000_t202" style="position:absolute;margin-left:291.5pt;margin-top:736.65pt;width:29pt;height: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" filled="f" stroked="f">
              <v:textbox inset="0,0,0,0">
                <w:txbxContent>
                  <w:p w14:paraId="22C284EB" w14:textId="77777777" w:rsidR="004E7A6D" w:rsidRDefault="008149D8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84DF" w14:textId="77777777" w:rsidR="00116E50" w:rsidRDefault="008149D8">
      <w:r>
        <w:separator/>
      </w:r>
    </w:p>
  </w:footnote>
  <w:footnote w:type="continuationSeparator" w:id="0">
    <w:p w14:paraId="22C284E1" w14:textId="77777777" w:rsidR="00116E50" w:rsidRDefault="0081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4DD" w14:textId="75EDC3EF" w:rsidR="004E7A6D" w:rsidRDefault="004E7A6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24A6"/>
    <w:multiLevelType w:val="multilevel"/>
    <w:tmpl w:val="A310202E"/>
    <w:lvl w:ilvl="0">
      <w:start w:val="1"/>
      <w:numFmt w:val="decimal"/>
      <w:lvlText w:val="%1."/>
      <w:lvlJc w:val="left"/>
      <w:pPr>
        <w:ind w:left="74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24" w:hanging="5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35" w:hanging="5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5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5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2" w:hanging="5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7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3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8" w:hanging="577"/>
      </w:pPr>
      <w:rPr>
        <w:rFonts w:hint="default"/>
        <w:lang w:val="en-US" w:eastAsia="en-US" w:bidi="ar-SA"/>
      </w:rPr>
    </w:lvl>
  </w:abstractNum>
  <w:num w:numId="1" w16cid:durableId="113629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6D"/>
    <w:rsid w:val="00011D67"/>
    <w:rsid w:val="00116E50"/>
    <w:rsid w:val="001C67ED"/>
    <w:rsid w:val="003C5978"/>
    <w:rsid w:val="00425543"/>
    <w:rsid w:val="004E7A6D"/>
    <w:rsid w:val="008149D8"/>
    <w:rsid w:val="00E85792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8499"/>
  <w15:docId w15:val="{B7AA4671-3A2B-40AB-A74E-D1E97D9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1324" w:hanging="5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5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43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11D6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E9F42-5834-424D-974A-D18C24D44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87DDB-6FDA-4339-82A3-9BFCFBD7CED9}">
  <ds:schemaRefs>
    <ds:schemaRef ds:uri="http://schemas.openxmlformats.org/package/2006/metadata/core-properties"/>
    <ds:schemaRef ds:uri="http://purl.org/dc/elements/1.1/"/>
    <ds:schemaRef ds:uri="http://www.w3.org/XML/1998/namespace"/>
    <ds:schemaRef ds:uri="4453b6c3-2045-4d26-88bc-30339f4f6f92"/>
    <ds:schemaRef ds:uri="http://schemas.microsoft.com/office/2006/documentManagement/types"/>
    <ds:schemaRef ds:uri="http://purl.org/dc/terms/"/>
    <ds:schemaRef ds:uri="http://schemas.microsoft.com/office/infopath/2007/PartnerControls"/>
    <ds:schemaRef ds:uri="b7231b89-4636-4e87-bf18-5864c59853e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B51858-79A6-4DD3-8D89-63074ACD4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2024-04-08T23:44:00Z</dcterms:created>
  <dcterms:modified xsi:type="dcterms:W3CDTF">2024-04-08T23:44:00Z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D:20230825171244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2024-04-06T00:34:13Z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c864334b-81c0-4fee-9edf-6f056766202f</vt:lpwstr>
  </property>
  <property fmtid="{D5CDD505-2E9C-101B-9397-08002B2CF9AE}" pid="14" name="MSIP_Label_bfe2c8f9-1977-4483-bc2a-a0132c8c75ea_ContentBits">
    <vt:lpwstr>0</vt:lpwstr>
  </property>
</Properties>
</file>