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9F35" w14:textId="77777777" w:rsidR="00BF03B4" w:rsidRDefault="00BF03B4">
      <w:pPr>
        <w:pStyle w:val="BodyText"/>
        <w:spacing w:before="103"/>
        <w:rPr>
          <w:rFonts w:ascii="Times New Roman"/>
          <w:sz w:val="20"/>
        </w:rPr>
      </w:pPr>
    </w:p>
    <w:p w14:paraId="3C1E9F36" w14:textId="77777777" w:rsidR="00BF03B4" w:rsidRDefault="008B796F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1E9FA5" wp14:editId="3C1E9FA6">
                <wp:extent cx="5943600" cy="509270"/>
                <wp:effectExtent l="0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509270"/>
                          <a:chOff x="0" y="0"/>
                          <a:chExt cx="5943600" cy="5092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50927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21"/>
                                </a:lnTo>
                                <a:lnTo>
                                  <a:pt x="0" y="502920"/>
                                </a:lnTo>
                                <a:lnTo>
                                  <a:pt x="0" y="509028"/>
                                </a:lnTo>
                                <a:lnTo>
                                  <a:pt x="6096" y="509028"/>
                                </a:lnTo>
                                <a:lnTo>
                                  <a:pt x="5937504" y="509028"/>
                                </a:lnTo>
                                <a:lnTo>
                                  <a:pt x="5943600" y="509028"/>
                                </a:lnTo>
                                <a:lnTo>
                                  <a:pt x="5943600" y="502932"/>
                                </a:lnTo>
                                <a:lnTo>
                                  <a:pt x="5943600" y="6121"/>
                                </a:lnTo>
                                <a:lnTo>
                                  <a:pt x="5937504" y="6121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0"/>
                            <a:ext cx="593788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E9FAF" w14:textId="77777777" w:rsidR="00BF03B4" w:rsidRDefault="008B796F">
                              <w:pPr>
                                <w:spacing w:before="9"/>
                                <w:ind w:left="2937" w:right="1" w:hanging="156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305: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DOCUMENTATION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IRB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DISCUSSIONS, DECISIONS AND FINDINGS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E9FA5" id="Group 4" o:spid="_x0000_s1026" style="width:468pt;height:40.1pt;mso-position-horizontal-relative:char;mso-position-vertical-relative:line" coordsize="59436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">
                <v:shape id="Graphic 5" o:spid="_x0000_s1027" style="position:absolute;width:59436;height:5092;visibility:visible;mso-wrap-style:square;v-text-anchor:top" coordsize="594360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" path="m5943600,r-6084,l6096,,,,,6108r6096,l,6121,,502920r,6108l6096,509028r5931408,l5943600,509028r,-6096l5943600,6121r-6096,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width:59379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C1E9FAF" w14:textId="77777777" w:rsidR="00BF03B4" w:rsidRDefault="008B796F">
                        <w:pPr>
                          <w:spacing w:before="9"/>
                          <w:ind w:left="2937" w:right="1" w:hanging="156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305: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DOCUMENTATION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IRB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DISCUSSIONS, DECISIONS AND FINDINGS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1E9F37" w14:textId="77777777" w:rsidR="00BF03B4" w:rsidRDefault="008B796F">
      <w:pPr>
        <w:pStyle w:val="Heading1"/>
        <w:spacing w:before="234"/>
        <w:ind w:left="120"/>
      </w:pPr>
      <w:r>
        <w:rPr>
          <w:spacing w:val="-2"/>
        </w:rPr>
        <w:t>PURPOSE</w:t>
      </w:r>
    </w:p>
    <w:p w14:paraId="3C1E9F38" w14:textId="5F306B1A" w:rsidR="00BF03B4" w:rsidRDefault="008B796F">
      <w:pPr>
        <w:pStyle w:val="BodyText"/>
        <w:spacing w:before="1"/>
        <w:ind w:left="119"/>
      </w:pPr>
      <w:r>
        <w:t>This</w:t>
      </w:r>
      <w:r>
        <w:rPr>
          <w:spacing w:val="-2"/>
        </w:rPr>
        <w:t xml:space="preserve"> </w:t>
      </w:r>
      <w:r>
        <w:t>SOP</w:t>
      </w:r>
      <w:r>
        <w:rPr>
          <w:spacing w:val="-3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documenting</w:t>
      </w:r>
      <w:r>
        <w:rPr>
          <w:spacing w:val="-3"/>
        </w:rPr>
        <w:t xml:space="preserve"> </w:t>
      </w:r>
      <w:r w:rsidR="00520093">
        <w:t xml:space="preserve">Queen’s Medical Center Research </w:t>
      </w:r>
      <w:r>
        <w:t>Institutional</w:t>
      </w:r>
      <w:r>
        <w:rPr>
          <w:spacing w:val="-7"/>
        </w:rPr>
        <w:t xml:space="preserve"> </w:t>
      </w:r>
      <w:r>
        <w:t>Review</w:t>
      </w:r>
      <w:r>
        <w:rPr>
          <w:spacing w:val="-1"/>
        </w:rPr>
        <w:t xml:space="preserve"> </w:t>
      </w:r>
      <w:r w:rsidR="00520093">
        <w:t>Committee</w:t>
      </w:r>
      <w:r>
        <w:rPr>
          <w:spacing w:val="-5"/>
        </w:rPr>
        <w:t xml:space="preserve"> </w:t>
      </w:r>
      <w:r>
        <w:t>(</w:t>
      </w:r>
      <w:r w:rsidR="00520093">
        <w:t>RIRC</w:t>
      </w:r>
      <w:r>
        <w:t>) review of research applications, and the related discussion, decisions or actions, and findings.</w:t>
      </w:r>
    </w:p>
    <w:p w14:paraId="3C1E9F39" w14:textId="77777777" w:rsidR="00BF03B4" w:rsidRDefault="008B796F">
      <w:pPr>
        <w:pStyle w:val="Heading1"/>
        <w:spacing w:before="266"/>
      </w:pPr>
      <w:r>
        <w:rPr>
          <w:spacing w:val="-4"/>
        </w:rPr>
        <w:t>SCOPE</w:t>
      </w:r>
    </w:p>
    <w:p w14:paraId="3C1E9F3A" w14:textId="2F9FCDAC" w:rsidR="00BF03B4" w:rsidRDefault="008B796F">
      <w:pPr>
        <w:pStyle w:val="BodyText"/>
        <w:spacing w:before="1"/>
        <w:ind w:left="119"/>
      </w:pPr>
      <w:r>
        <w:t>This</w:t>
      </w:r>
      <w:r>
        <w:rPr>
          <w:spacing w:val="-5"/>
        </w:rPr>
        <w:t xml:space="preserve"> </w:t>
      </w:r>
      <w:r>
        <w:t>SOP</w:t>
      </w:r>
      <w:r>
        <w:rPr>
          <w:spacing w:val="-4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20093">
        <w:t xml:space="preserve">Queen’s Medical Center </w:t>
      </w:r>
      <w:r w:rsidR="00520093">
        <w:rPr>
          <w:spacing w:val="-4"/>
        </w:rPr>
        <w:t>RIRC</w:t>
      </w:r>
      <w:r>
        <w:rPr>
          <w:spacing w:val="-4"/>
        </w:rPr>
        <w:t>.</w:t>
      </w:r>
    </w:p>
    <w:p w14:paraId="3C1E9F3B" w14:textId="77777777" w:rsidR="00BF03B4" w:rsidRDefault="00BF03B4">
      <w:pPr>
        <w:pStyle w:val="BodyText"/>
      </w:pPr>
    </w:p>
    <w:p w14:paraId="3C1E9F3C" w14:textId="77777777" w:rsidR="00BF03B4" w:rsidRDefault="008B796F">
      <w:pPr>
        <w:pStyle w:val="Heading1"/>
      </w:pPr>
      <w:r>
        <w:rPr>
          <w:spacing w:val="-2"/>
        </w:rPr>
        <w:t>POLICY</w:t>
      </w:r>
    </w:p>
    <w:p w14:paraId="3C1E9F3D" w14:textId="074FFB6C" w:rsidR="00BF03B4" w:rsidRDefault="008B796F">
      <w:pPr>
        <w:pStyle w:val="BodyText"/>
        <w:ind w:left="119" w:right="175"/>
        <w:jc w:val="both"/>
      </w:pPr>
      <w:r>
        <w:t>The</w:t>
      </w:r>
      <w:r>
        <w:rPr>
          <w:spacing w:val="-1"/>
        </w:rPr>
        <w:t xml:space="preserve"> </w:t>
      </w:r>
      <w:r w:rsidR="00520093">
        <w:t>Queen’s Medical Center RIRC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discussions,</w:t>
      </w:r>
      <w:r>
        <w:rPr>
          <w:spacing w:val="-4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 convened</w:t>
      </w:r>
      <w:r>
        <w:rPr>
          <w:spacing w:val="-4"/>
        </w:rPr>
        <w:t xml:space="preserve"> </w:t>
      </w:r>
      <w:r>
        <w:t>meetings.</w:t>
      </w:r>
      <w:r>
        <w:rPr>
          <w:spacing w:val="-1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pertinent materials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20093">
        <w:t>R</w:t>
      </w:r>
      <w:r w:rsidR="005B0A6D">
        <w:t>RO</w:t>
      </w:r>
      <w:r w:rsidR="00520093">
        <w:t xml:space="preserve"> office.</w:t>
      </w:r>
    </w:p>
    <w:p w14:paraId="3C1E9F3E" w14:textId="226D257E" w:rsidR="00BF03B4" w:rsidRDefault="008B796F">
      <w:pPr>
        <w:pStyle w:val="BodyText"/>
        <w:spacing w:before="267"/>
        <w:ind w:left="118" w:right="93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expedited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actions,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findings </w:t>
      </w:r>
      <w:r w:rsidR="00520093">
        <w:t>may be</w:t>
      </w:r>
      <w:r>
        <w:t xml:space="preserve"> made </w:t>
      </w:r>
      <w:r w:rsidR="00520093">
        <w:t>with the</w:t>
      </w:r>
      <w:r>
        <w:t xml:space="preserve"> reviewer checklist</w:t>
      </w:r>
      <w:r w:rsidR="00F45C32">
        <w:t xml:space="preserve"> and RIRC minutes</w:t>
      </w:r>
      <w:r>
        <w:t xml:space="preserve">. Reviewer checklists and pertinent materials are maintained in </w:t>
      </w:r>
      <w:r w:rsidR="00520093">
        <w:rPr>
          <w:spacing w:val="-2"/>
        </w:rPr>
        <w:t>R</w:t>
      </w:r>
      <w:r w:rsidR="005B0A6D">
        <w:rPr>
          <w:spacing w:val="-2"/>
        </w:rPr>
        <w:t>RO</w:t>
      </w:r>
      <w:r w:rsidR="00520093">
        <w:rPr>
          <w:spacing w:val="-2"/>
        </w:rPr>
        <w:t xml:space="preserve"> office</w:t>
      </w:r>
      <w:r w:rsidR="00F45C32">
        <w:rPr>
          <w:spacing w:val="-2"/>
        </w:rPr>
        <w:t>.</w:t>
      </w:r>
    </w:p>
    <w:p w14:paraId="3C1E9F41" w14:textId="77777777" w:rsidR="00BF03B4" w:rsidRDefault="00BF03B4">
      <w:pPr>
        <w:pStyle w:val="BodyText"/>
      </w:pPr>
    </w:p>
    <w:p w14:paraId="3C1E9F42" w14:textId="77777777" w:rsidR="00BF03B4" w:rsidRDefault="008B796F">
      <w:pPr>
        <w:pStyle w:val="Heading1"/>
        <w:ind w:left="118"/>
      </w:pPr>
      <w:r>
        <w:rPr>
          <w:spacing w:val="-2"/>
        </w:rPr>
        <w:t>PROCEDURES</w:t>
      </w:r>
    </w:p>
    <w:p w14:paraId="3C1E9F43" w14:textId="77777777" w:rsidR="00BF03B4" w:rsidRDefault="008B796F">
      <w:pPr>
        <w:pStyle w:val="Heading2"/>
        <w:numPr>
          <w:ilvl w:val="0"/>
          <w:numId w:val="1"/>
        </w:numPr>
        <w:tabs>
          <w:tab w:val="left" w:pos="476"/>
        </w:tabs>
        <w:ind w:left="476" w:hanging="358"/>
      </w:pPr>
      <w:r>
        <w:t>Recording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3C1E9F44" w14:textId="11D7EE49" w:rsidR="00BF03B4" w:rsidRDefault="008B796F">
      <w:pPr>
        <w:pStyle w:val="ListParagraph"/>
        <w:numPr>
          <w:ilvl w:val="1"/>
          <w:numId w:val="1"/>
        </w:numPr>
        <w:tabs>
          <w:tab w:val="left" w:pos="907"/>
          <w:tab w:val="left" w:pos="910"/>
        </w:tabs>
        <w:ind w:right="216" w:hanging="432"/>
      </w:pPr>
      <w:r>
        <w:t xml:space="preserve">Minutes document discussions, decisions, and findings made during convened </w:t>
      </w:r>
      <w:r w:rsidR="00520093">
        <w:t>RIRC</w:t>
      </w:r>
      <w:r>
        <w:t xml:space="preserve"> meetings. </w:t>
      </w:r>
      <w:r w:rsidR="00520093">
        <w:t>RIRC</w:t>
      </w:r>
      <w:r>
        <w:rPr>
          <w:spacing w:val="-3"/>
        </w:rPr>
        <w:t xml:space="preserve"> </w:t>
      </w:r>
      <w:r w:rsidR="00520093">
        <w:t>staff</w:t>
      </w:r>
      <w:r>
        <w:rPr>
          <w:spacing w:val="-3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minutes</w:t>
      </w:r>
      <w:r>
        <w:rPr>
          <w:spacing w:val="-5"/>
        </w:rPr>
        <w:t xml:space="preserve"> </w:t>
      </w:r>
      <w:r w:rsidR="00520093">
        <w:t>and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to record the following:</w:t>
      </w:r>
    </w:p>
    <w:p w14:paraId="3C1E9F45" w14:textId="77777777" w:rsidR="00BF03B4" w:rsidRDefault="008B796F">
      <w:pPr>
        <w:pStyle w:val="ListParagraph"/>
        <w:numPr>
          <w:ilvl w:val="2"/>
          <w:numId w:val="1"/>
        </w:numPr>
        <w:tabs>
          <w:tab w:val="left" w:pos="1198"/>
        </w:tabs>
        <w:spacing w:before="239"/>
        <w:ind w:hanging="360"/>
      </w:pP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attendance.</w:t>
      </w:r>
    </w:p>
    <w:p w14:paraId="3C1E9F46" w14:textId="77777777" w:rsidR="00BF03B4" w:rsidRDefault="008B796F">
      <w:pPr>
        <w:pStyle w:val="ListParagraph"/>
        <w:numPr>
          <w:ilvl w:val="2"/>
          <w:numId w:val="1"/>
        </w:numPr>
        <w:tabs>
          <w:tab w:val="left" w:pos="1198"/>
        </w:tabs>
        <w:ind w:hanging="360"/>
      </w:pPr>
      <w:r>
        <w:t>When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alternate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replaces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rPr>
          <w:spacing w:val="-2"/>
        </w:rPr>
        <w:t>member.</w:t>
      </w:r>
    </w:p>
    <w:p w14:paraId="3C1E9F47" w14:textId="77777777" w:rsidR="00BF03B4" w:rsidRDefault="008B796F">
      <w:pPr>
        <w:pStyle w:val="ListParagraph"/>
        <w:numPr>
          <w:ilvl w:val="2"/>
          <w:numId w:val="1"/>
        </w:numPr>
        <w:tabs>
          <w:tab w:val="left" w:pos="1198"/>
        </w:tabs>
        <w:spacing w:before="241"/>
        <w:ind w:right="331" w:hanging="360"/>
      </w:pPr>
      <w:r>
        <w:t>Attendance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teleconference</w:t>
      </w:r>
      <w:r>
        <w:rPr>
          <w:spacing w:val="-2"/>
        </w:rPr>
        <w:t xml:space="preserve"> </w:t>
      </w:r>
      <w:r>
        <w:t xml:space="preserve">or videoconference. It should be noted whether the meeting was conducted in-person or </w:t>
      </w:r>
      <w:r>
        <w:rPr>
          <w:spacing w:val="-2"/>
        </w:rPr>
        <w:t>virtually.</w:t>
      </w:r>
    </w:p>
    <w:p w14:paraId="3C1E9F48" w14:textId="05FA5D53" w:rsidR="00BF03B4" w:rsidRDefault="008B796F">
      <w:pPr>
        <w:pStyle w:val="ListParagraph"/>
        <w:numPr>
          <w:ilvl w:val="2"/>
          <w:numId w:val="1"/>
        </w:numPr>
        <w:tabs>
          <w:tab w:val="left" w:pos="1198"/>
        </w:tabs>
        <w:spacing w:before="238"/>
        <w:ind w:right="200" w:hanging="360"/>
      </w:pPr>
      <w:r>
        <w:t>The presentation and discussion of each agenda item (new studies, continuing review, and 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amendments,</w:t>
      </w:r>
      <w:r>
        <w:rPr>
          <w:spacing w:val="-3"/>
        </w:rPr>
        <w:t xml:space="preserve"> </w:t>
      </w:r>
      <w:r>
        <w:t>etc.).</w:t>
      </w:r>
      <w:r>
        <w:rPr>
          <w:spacing w:val="-3"/>
        </w:rPr>
        <w:t xml:space="preserve"> </w:t>
      </w:r>
      <w:r>
        <w:t>Ea</w:t>
      </w:r>
      <w:r w:rsidR="00520093">
        <w:t>c</w:t>
      </w:r>
      <w:r>
        <w:t>h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voted</w:t>
      </w:r>
      <w:r>
        <w:rPr>
          <w:spacing w:val="-5"/>
        </w:rPr>
        <w:t xml:space="preserve"> </w:t>
      </w:r>
      <w:r>
        <w:t>individually,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 description for the basis of requiring changes in or disapproving the research.</w:t>
      </w:r>
      <w:r w:rsidR="00520093">
        <w:t xml:space="preserve"> Block voting may be used </w:t>
      </w:r>
      <w:r w:rsidR="003F75F4">
        <w:t>for continuing reviews at full Committee.</w:t>
      </w:r>
    </w:p>
    <w:p w14:paraId="3C1E9F49" w14:textId="77777777" w:rsidR="00BF03B4" w:rsidRDefault="008B796F">
      <w:pPr>
        <w:pStyle w:val="ListParagraph"/>
        <w:numPr>
          <w:ilvl w:val="2"/>
          <w:numId w:val="1"/>
        </w:numPr>
        <w:tabs>
          <w:tab w:val="left" w:pos="1198"/>
        </w:tabs>
        <w:spacing w:before="241"/>
        <w:ind w:hanging="360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controverted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resolution.</w:t>
      </w:r>
    </w:p>
    <w:p w14:paraId="3C1E9F4C" w14:textId="77777777" w:rsidR="00BF03B4" w:rsidRDefault="00BF03B4">
      <w:pPr>
        <w:jc w:val="center"/>
        <w:rPr>
          <w:sz w:val="16"/>
        </w:rPr>
        <w:sectPr w:rsidR="00BF03B4">
          <w:headerReference w:type="default" r:id="rId10"/>
          <w:footerReference w:type="default" r:id="rId11"/>
          <w:type w:val="continuous"/>
          <w:pgSz w:w="12240" w:h="15840"/>
          <w:pgMar w:top="1760" w:right="1340" w:bottom="1460" w:left="1320" w:header="720" w:footer="1272" w:gutter="0"/>
          <w:pgNumType w:start="1"/>
          <w:cols w:space="720"/>
        </w:sectPr>
      </w:pPr>
    </w:p>
    <w:p w14:paraId="3C1E9F4D" w14:textId="0DB90EA8" w:rsidR="00BF03B4" w:rsidRDefault="008B796F">
      <w:pPr>
        <w:pStyle w:val="ListParagraph"/>
        <w:numPr>
          <w:ilvl w:val="2"/>
          <w:numId w:val="1"/>
        </w:numPr>
        <w:tabs>
          <w:tab w:val="left" w:pos="1200"/>
        </w:tabs>
        <w:spacing w:before="91"/>
        <w:ind w:left="1200" w:right="238"/>
      </w:pPr>
      <w:r>
        <w:lastRenderedPageBreak/>
        <w:t xml:space="preserve">Recommendations documented in the </w:t>
      </w:r>
      <w:r w:rsidR="00520093">
        <w:t>RIRC</w:t>
      </w:r>
      <w:r>
        <w:t xml:space="preserve"> reviewer checklists submitted prior to the meeting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deviate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520093">
        <w:t>Committee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convened</w:t>
      </w:r>
      <w:r>
        <w:rPr>
          <w:spacing w:val="-5"/>
        </w:rPr>
        <w:t xml:space="preserve"> </w:t>
      </w:r>
      <w:r>
        <w:t>meeting.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event that recommendations in the </w:t>
      </w:r>
      <w:r w:rsidR="00520093">
        <w:t>RIRC</w:t>
      </w:r>
      <w:r>
        <w:t xml:space="preserve"> checklist are not consistent with the conclusions resulting from the </w:t>
      </w:r>
      <w:r w:rsidR="00520093">
        <w:t>Committee</w:t>
      </w:r>
      <w:r>
        <w:t xml:space="preserve"> discussion, the minutes will document the final decisions and </w:t>
      </w:r>
      <w:r>
        <w:rPr>
          <w:spacing w:val="-2"/>
        </w:rPr>
        <w:t>determinations.</w:t>
      </w:r>
    </w:p>
    <w:p w14:paraId="3C1E9F4E" w14:textId="77777777" w:rsidR="00BF03B4" w:rsidRDefault="008B796F">
      <w:pPr>
        <w:pStyle w:val="ListParagraph"/>
        <w:numPr>
          <w:ilvl w:val="2"/>
          <w:numId w:val="1"/>
        </w:numPr>
        <w:tabs>
          <w:tab w:val="left" w:pos="1200"/>
        </w:tabs>
        <w:spacing w:before="239"/>
        <w:ind w:left="1200" w:right="104"/>
      </w:pPr>
      <w:r>
        <w:t>Voting results include number for, opposed, and abstaining. This will include only voting members</w:t>
      </w:r>
      <w:r>
        <w:rPr>
          <w:spacing w:val="-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absent for the vote will be documented. Members who recused themselves for a conflicting</w:t>
      </w:r>
      <w:r>
        <w:rPr>
          <w:spacing w:val="40"/>
        </w:rPr>
        <w:t xml:space="preserve"> </w:t>
      </w:r>
      <w:r>
        <w:t>interest will be recorded in the minutes.</w:t>
      </w:r>
    </w:p>
    <w:p w14:paraId="3C1E9F50" w14:textId="77777777" w:rsidR="00BF03B4" w:rsidRDefault="008B796F">
      <w:pPr>
        <w:pStyle w:val="ListParagraph"/>
        <w:numPr>
          <w:ilvl w:val="2"/>
          <w:numId w:val="1"/>
        </w:numPr>
        <w:tabs>
          <w:tab w:val="left" w:pos="1200"/>
        </w:tabs>
        <w:spacing w:before="238"/>
        <w:ind w:left="1200"/>
      </w:pPr>
      <w:r>
        <w:t>For</w:t>
      </w:r>
      <w:r>
        <w:rPr>
          <w:spacing w:val="-5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rPr>
          <w:spacing w:val="-2"/>
        </w:rPr>
        <w:t>period.</w:t>
      </w:r>
    </w:p>
    <w:p w14:paraId="3C1E9F51" w14:textId="77777777" w:rsidR="00BF03B4" w:rsidRDefault="008B796F">
      <w:pPr>
        <w:pStyle w:val="ListParagraph"/>
        <w:numPr>
          <w:ilvl w:val="2"/>
          <w:numId w:val="1"/>
        </w:numPr>
        <w:tabs>
          <w:tab w:val="left" w:pos="1200"/>
        </w:tabs>
        <w:ind w:left="1200" w:right="233"/>
      </w:pP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determinations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protocol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justifying those determinations for: waiver or alteration of informed consent and/or authorization; waiver of documentation of consent; research involving pregnant women, human fetuses, and neonates; research involving children, research involving prisoners; research involving participants with diminished capacity to consent.</w:t>
      </w:r>
    </w:p>
    <w:p w14:paraId="3C1E9F52" w14:textId="77777777" w:rsidR="00BF03B4" w:rsidRDefault="008B796F">
      <w:pPr>
        <w:pStyle w:val="ListParagraph"/>
        <w:numPr>
          <w:ilvl w:val="2"/>
          <w:numId w:val="1"/>
        </w:numPr>
        <w:tabs>
          <w:tab w:val="left" w:pos="1200"/>
        </w:tabs>
        <w:spacing w:before="242"/>
        <w:ind w:left="1200" w:hanging="360"/>
      </w:pPr>
      <w:r>
        <w:t>If</w:t>
      </w:r>
      <w:r>
        <w:rPr>
          <w:spacing w:val="-8"/>
        </w:rPr>
        <w:t xml:space="preserve"> </w:t>
      </w:r>
      <w:r>
        <w:t>applicable,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rationale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risk/non-significant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rPr>
          <w:spacing w:val="-2"/>
        </w:rPr>
        <w:t>determinations.</w:t>
      </w:r>
    </w:p>
    <w:p w14:paraId="3C1E9F54" w14:textId="77777777" w:rsidR="00BF03B4" w:rsidRDefault="008B796F">
      <w:pPr>
        <w:pStyle w:val="ListParagraph"/>
        <w:numPr>
          <w:ilvl w:val="2"/>
          <w:numId w:val="1"/>
        </w:numPr>
        <w:tabs>
          <w:tab w:val="left" w:pos="1200"/>
        </w:tabs>
        <w:spacing w:before="241"/>
        <w:ind w:left="1200" w:right="953"/>
      </w:pP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rationale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expedited</w:t>
      </w:r>
      <w:r>
        <w:rPr>
          <w:spacing w:val="-4"/>
        </w:rPr>
        <w:t xml:space="preserve"> </w:t>
      </w:r>
      <w:r>
        <w:t>reviewer’s</w:t>
      </w:r>
      <w:r>
        <w:rPr>
          <w:spacing w:val="-5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research appearing on the expedited review list is more than minimal risk.</w:t>
      </w:r>
    </w:p>
    <w:p w14:paraId="3C1E9F55" w14:textId="77777777" w:rsidR="00BF03B4" w:rsidRDefault="008B796F">
      <w:pPr>
        <w:pStyle w:val="Heading2"/>
        <w:numPr>
          <w:ilvl w:val="0"/>
          <w:numId w:val="1"/>
        </w:numPr>
        <w:tabs>
          <w:tab w:val="left" w:pos="478"/>
        </w:tabs>
        <w:ind w:hanging="358"/>
      </w:pPr>
      <w:r>
        <w:t>Distribution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3C1E9F56" w14:textId="73508949" w:rsidR="00BF03B4" w:rsidRDefault="00520093">
      <w:pPr>
        <w:pStyle w:val="ListParagraph"/>
        <w:numPr>
          <w:ilvl w:val="1"/>
          <w:numId w:val="1"/>
        </w:numPr>
        <w:tabs>
          <w:tab w:val="left" w:pos="909"/>
          <w:tab w:val="left" w:pos="912"/>
        </w:tabs>
        <w:spacing w:before="238"/>
        <w:ind w:left="912" w:right="156" w:hanging="432"/>
      </w:pPr>
      <w:r>
        <w:t>R</w:t>
      </w:r>
      <w:r w:rsidR="005B0A6D">
        <w:t>RO</w:t>
      </w:r>
      <w:r w:rsidR="008B796F">
        <w:rPr>
          <w:spacing w:val="-3"/>
        </w:rPr>
        <w:t xml:space="preserve"> </w:t>
      </w:r>
      <w:r w:rsidR="003F75F4">
        <w:t>staff</w:t>
      </w:r>
      <w:r w:rsidR="008B796F">
        <w:rPr>
          <w:spacing w:val="-3"/>
        </w:rPr>
        <w:t xml:space="preserve"> </w:t>
      </w:r>
      <w:r w:rsidR="008B796F">
        <w:t>are</w:t>
      </w:r>
      <w:r w:rsidR="008B796F">
        <w:rPr>
          <w:spacing w:val="-2"/>
        </w:rPr>
        <w:t xml:space="preserve"> </w:t>
      </w:r>
      <w:r w:rsidR="008B796F">
        <w:t>responsible</w:t>
      </w:r>
      <w:r w:rsidR="008B796F">
        <w:rPr>
          <w:spacing w:val="-2"/>
        </w:rPr>
        <w:t xml:space="preserve"> </w:t>
      </w:r>
      <w:r w:rsidR="008B796F">
        <w:t>for</w:t>
      </w:r>
      <w:r w:rsidR="008B796F">
        <w:rPr>
          <w:spacing w:val="-3"/>
        </w:rPr>
        <w:t xml:space="preserve"> </w:t>
      </w:r>
      <w:r w:rsidR="008B796F">
        <w:t>preparing</w:t>
      </w:r>
      <w:r w:rsidR="008B796F">
        <w:rPr>
          <w:spacing w:val="-4"/>
        </w:rPr>
        <w:t xml:space="preserve"> </w:t>
      </w:r>
      <w:r w:rsidR="008B796F">
        <w:t>the</w:t>
      </w:r>
      <w:r w:rsidR="008B796F">
        <w:rPr>
          <w:spacing w:val="-4"/>
        </w:rPr>
        <w:t xml:space="preserve"> </w:t>
      </w:r>
      <w:r w:rsidR="008B796F">
        <w:t>meeting</w:t>
      </w:r>
      <w:r w:rsidR="008B796F">
        <w:rPr>
          <w:spacing w:val="-3"/>
        </w:rPr>
        <w:t xml:space="preserve"> </w:t>
      </w:r>
      <w:r w:rsidR="008B796F">
        <w:t xml:space="preserve">minutes. Meeting minutes are retained </w:t>
      </w:r>
      <w:r w:rsidR="00C90C2D">
        <w:t>by the R</w:t>
      </w:r>
      <w:r w:rsidR="005B0A6D">
        <w:t>RO</w:t>
      </w:r>
      <w:r w:rsidR="00C90C2D">
        <w:t xml:space="preserve"> office</w:t>
      </w:r>
      <w:r w:rsidR="008B796F">
        <w:rPr>
          <w:spacing w:val="-2"/>
        </w:rPr>
        <w:t>.</w:t>
      </w:r>
    </w:p>
    <w:p w14:paraId="3C1E9F57" w14:textId="52190703" w:rsidR="00BF03B4" w:rsidRPr="00051945" w:rsidRDefault="008B796F">
      <w:pPr>
        <w:pStyle w:val="ListParagraph"/>
        <w:numPr>
          <w:ilvl w:val="1"/>
          <w:numId w:val="1"/>
        </w:numPr>
        <w:tabs>
          <w:tab w:val="left" w:pos="909"/>
          <w:tab w:val="left" w:pos="912"/>
        </w:tabs>
        <w:ind w:left="912" w:right="742" w:hanging="432"/>
      </w:pPr>
      <w:r>
        <w:t>Items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meeting </w:t>
      </w:r>
      <w:r>
        <w:rPr>
          <w:spacing w:val="-2"/>
        </w:rPr>
        <w:t>minutes.</w:t>
      </w:r>
    </w:p>
    <w:p w14:paraId="63150061" w14:textId="75838377" w:rsidR="006B4A34" w:rsidRPr="00C90C2D" w:rsidRDefault="006B4A34">
      <w:pPr>
        <w:pStyle w:val="ListParagraph"/>
        <w:numPr>
          <w:ilvl w:val="1"/>
          <w:numId w:val="1"/>
        </w:numPr>
        <w:tabs>
          <w:tab w:val="left" w:pos="909"/>
          <w:tab w:val="left" w:pos="912"/>
        </w:tabs>
        <w:ind w:left="912" w:right="742" w:hanging="432"/>
      </w:pPr>
      <w:r>
        <w:rPr>
          <w:spacing w:val="-2"/>
        </w:rPr>
        <w:t>Items ceded to an external IRB are listed in the meeting minutes.</w:t>
      </w:r>
    </w:p>
    <w:p w14:paraId="2757E60E" w14:textId="77777777" w:rsidR="00C90C2D" w:rsidRDefault="00C90C2D" w:rsidP="00C90C2D">
      <w:pPr>
        <w:pStyle w:val="ListParagraph"/>
        <w:tabs>
          <w:tab w:val="left" w:pos="909"/>
          <w:tab w:val="left" w:pos="912"/>
        </w:tabs>
        <w:ind w:right="742" w:firstLine="0"/>
      </w:pPr>
    </w:p>
    <w:p w14:paraId="3C1E9F61" w14:textId="77777777" w:rsidR="00BF03B4" w:rsidRDefault="008B796F">
      <w:pPr>
        <w:pStyle w:val="Heading2"/>
        <w:numPr>
          <w:ilvl w:val="0"/>
          <w:numId w:val="1"/>
        </w:numPr>
        <w:tabs>
          <w:tab w:val="left" w:pos="478"/>
        </w:tabs>
        <w:spacing w:before="90"/>
        <w:ind w:hanging="358"/>
      </w:pP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Reviews,</w:t>
      </w:r>
      <w:r>
        <w:rPr>
          <w:spacing w:val="-4"/>
        </w:rPr>
        <w:t xml:space="preserve"> </w:t>
      </w:r>
      <w:r>
        <w:t>Actions,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Decisions</w:t>
      </w:r>
    </w:p>
    <w:p w14:paraId="3C1E9F62" w14:textId="25C71068" w:rsidR="00BF03B4" w:rsidRDefault="008B796F">
      <w:pPr>
        <w:pStyle w:val="ListParagraph"/>
        <w:numPr>
          <w:ilvl w:val="1"/>
          <w:numId w:val="1"/>
        </w:numPr>
        <w:tabs>
          <w:tab w:val="left" w:pos="908"/>
          <w:tab w:val="left" w:pos="912"/>
        </w:tabs>
        <w:ind w:left="912" w:right="144"/>
      </w:pP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convened</w:t>
      </w:r>
      <w:r>
        <w:rPr>
          <w:spacing w:val="-2"/>
        </w:rPr>
        <w:t xml:space="preserve"> </w:t>
      </w:r>
      <w:r w:rsidR="00520093">
        <w:t>RIRC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grant investigators with initial or continuing approval of research involving human subjects, are signed off by the </w:t>
      </w:r>
      <w:r w:rsidR="00520093">
        <w:t>RIRC</w:t>
      </w:r>
      <w:r>
        <w:t xml:space="preserve"> Chair</w:t>
      </w:r>
      <w:r w:rsidR="00C90C2D">
        <w:t xml:space="preserve">, </w:t>
      </w:r>
      <w:r w:rsidR="00242FBC">
        <w:t xml:space="preserve">or </w:t>
      </w:r>
      <w:r w:rsidR="00C90C2D">
        <w:t xml:space="preserve">designee </w:t>
      </w:r>
      <w:r>
        <w:t xml:space="preserve">except when the convened </w:t>
      </w:r>
      <w:r w:rsidR="00520093">
        <w:t>RIRC</w:t>
      </w:r>
      <w:r>
        <w:t xml:space="preserve"> votes to approve research as submitted.</w:t>
      </w:r>
      <w:r>
        <w:rPr>
          <w:spacing w:val="40"/>
        </w:rPr>
        <w:t xml:space="preserve"> </w:t>
      </w:r>
      <w:r>
        <w:t xml:space="preserve">All results and actions taken by the </w:t>
      </w:r>
      <w:r w:rsidR="00520093">
        <w:t>RIRC</w:t>
      </w:r>
      <w:r>
        <w:t xml:space="preserve"> are reflected </w:t>
      </w:r>
      <w:r w:rsidR="00C90C2D">
        <w:t>in the minutes.</w:t>
      </w:r>
    </w:p>
    <w:p w14:paraId="3C1E9F64" w14:textId="2789BC93" w:rsidR="00BF03B4" w:rsidRDefault="008B796F">
      <w:pPr>
        <w:pStyle w:val="ListParagraph"/>
        <w:numPr>
          <w:ilvl w:val="1"/>
          <w:numId w:val="1"/>
        </w:numPr>
        <w:tabs>
          <w:tab w:val="left" w:pos="908"/>
          <w:tab w:val="left" w:pos="912"/>
        </w:tabs>
        <w:ind w:left="912" w:right="185"/>
      </w:pPr>
      <w:r>
        <w:t xml:space="preserve">The results of reviews and actions taken by the </w:t>
      </w:r>
      <w:r w:rsidR="00520093">
        <w:t>RIRC</w:t>
      </w:r>
      <w:r>
        <w:t xml:space="preserve"> via expedited review that grant or may appear to grant investigators with initial or continuing approval of research projects involving human</w:t>
      </w:r>
      <w:r>
        <w:rPr>
          <w:spacing w:val="-3"/>
        </w:rPr>
        <w:t xml:space="preserve"> </w:t>
      </w:r>
      <w:r>
        <w:t>subjects,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20093">
        <w:t>RIRC</w:t>
      </w:r>
      <w:r>
        <w:rPr>
          <w:spacing w:val="-2"/>
        </w:rPr>
        <w:t xml:space="preserve"> </w:t>
      </w:r>
      <w:r>
        <w:t>Chair,</w:t>
      </w:r>
      <w:r>
        <w:rPr>
          <w:spacing w:val="-4"/>
        </w:rPr>
        <w:t xml:space="preserve"> </w:t>
      </w:r>
      <w:r w:rsidR="00520093">
        <w:t>RIRC</w:t>
      </w:r>
      <w:r>
        <w:rPr>
          <w:spacing w:val="-2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 w:rsidR="00520093">
        <w:t>RIRC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 xml:space="preserve">designated by the </w:t>
      </w:r>
      <w:r w:rsidR="00520093">
        <w:t>RIRC</w:t>
      </w:r>
      <w:r>
        <w:t xml:space="preserve"> Chair (i.e., designated expedited reviewer). </w:t>
      </w:r>
    </w:p>
    <w:p w14:paraId="3C1E9F67" w14:textId="1FE817B2" w:rsidR="00BF03B4" w:rsidRDefault="008B796F">
      <w:pPr>
        <w:pStyle w:val="Heading2"/>
        <w:numPr>
          <w:ilvl w:val="0"/>
          <w:numId w:val="1"/>
        </w:numPr>
        <w:tabs>
          <w:tab w:val="left" w:pos="478"/>
        </w:tabs>
        <w:spacing w:before="238"/>
        <w:ind w:hanging="358"/>
      </w:pPr>
      <w: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 w:rsidR="00520093">
        <w:t>RIRC</w:t>
      </w:r>
      <w:r>
        <w:rPr>
          <w:spacing w:val="-4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Findings</w:t>
      </w:r>
    </w:p>
    <w:p w14:paraId="3C1E9F68" w14:textId="2B885707" w:rsidR="00BF03B4" w:rsidRDefault="005B0A6D">
      <w:pPr>
        <w:pStyle w:val="ListParagraph"/>
        <w:numPr>
          <w:ilvl w:val="1"/>
          <w:numId w:val="1"/>
        </w:numPr>
        <w:tabs>
          <w:tab w:val="left" w:pos="909"/>
          <w:tab w:val="left" w:pos="912"/>
        </w:tabs>
        <w:spacing w:before="241"/>
        <w:ind w:left="912" w:right="99" w:hanging="432"/>
      </w:pPr>
      <w:r>
        <w:lastRenderedPageBreak/>
        <w:t>RRO Staff</w:t>
      </w:r>
      <w:r w:rsidR="008B796F">
        <w:rPr>
          <w:spacing w:val="-2"/>
        </w:rPr>
        <w:t xml:space="preserve"> </w:t>
      </w:r>
      <w:r w:rsidR="008B796F">
        <w:t>are</w:t>
      </w:r>
      <w:r w:rsidR="008B796F">
        <w:rPr>
          <w:spacing w:val="-1"/>
        </w:rPr>
        <w:t xml:space="preserve"> </w:t>
      </w:r>
      <w:r w:rsidR="008B796F">
        <w:t>responsible</w:t>
      </w:r>
      <w:r w:rsidR="008B796F">
        <w:rPr>
          <w:spacing w:val="-1"/>
        </w:rPr>
        <w:t xml:space="preserve"> </w:t>
      </w:r>
      <w:r w:rsidR="008B796F">
        <w:t>for</w:t>
      </w:r>
      <w:r w:rsidR="008B796F">
        <w:rPr>
          <w:spacing w:val="-2"/>
        </w:rPr>
        <w:t xml:space="preserve"> </w:t>
      </w:r>
      <w:r w:rsidR="008B796F">
        <w:t>notifying</w:t>
      </w:r>
      <w:r w:rsidR="008B796F">
        <w:rPr>
          <w:spacing w:val="-3"/>
        </w:rPr>
        <w:t xml:space="preserve"> </w:t>
      </w:r>
      <w:r w:rsidR="008B796F">
        <w:t>the</w:t>
      </w:r>
      <w:r w:rsidR="008B796F">
        <w:rPr>
          <w:spacing w:val="-1"/>
        </w:rPr>
        <w:t xml:space="preserve"> </w:t>
      </w:r>
      <w:r w:rsidR="008B796F">
        <w:t>investigator</w:t>
      </w:r>
      <w:r w:rsidR="008B796F">
        <w:rPr>
          <w:spacing w:val="-4"/>
        </w:rPr>
        <w:t xml:space="preserve"> </w:t>
      </w:r>
      <w:r w:rsidR="008B796F">
        <w:t>of</w:t>
      </w:r>
      <w:r w:rsidR="008B796F">
        <w:rPr>
          <w:spacing w:val="-4"/>
        </w:rPr>
        <w:t xml:space="preserve"> </w:t>
      </w:r>
      <w:r w:rsidR="008B796F">
        <w:t>the</w:t>
      </w:r>
      <w:r w:rsidR="008B796F">
        <w:rPr>
          <w:spacing w:val="-1"/>
        </w:rPr>
        <w:t xml:space="preserve"> </w:t>
      </w:r>
      <w:r w:rsidR="00520093">
        <w:t>RIRC</w:t>
      </w:r>
      <w:r w:rsidR="008B796F">
        <w:t>’s</w:t>
      </w:r>
      <w:r w:rsidR="008B796F">
        <w:rPr>
          <w:spacing w:val="-2"/>
        </w:rPr>
        <w:t xml:space="preserve"> </w:t>
      </w:r>
      <w:r w:rsidR="008B796F">
        <w:t>decision</w:t>
      </w:r>
      <w:r w:rsidR="009B57CA">
        <w:rPr>
          <w:spacing w:val="-3"/>
        </w:rPr>
        <w:t>. N</w:t>
      </w:r>
      <w:r w:rsidR="008B796F">
        <w:t xml:space="preserve">otifications will be sent to other offices according to </w:t>
      </w:r>
      <w:r w:rsidR="00520093">
        <w:t>RIRC</w:t>
      </w:r>
      <w:r w:rsidR="008B796F">
        <w:t xml:space="preserve"> SOP 905: Institutional Reporting Procedures.</w:t>
      </w:r>
    </w:p>
    <w:p w14:paraId="3C1E9F69" w14:textId="7F886178" w:rsidR="00BF03B4" w:rsidRDefault="008B796F">
      <w:pPr>
        <w:pStyle w:val="ListParagraph"/>
        <w:numPr>
          <w:ilvl w:val="1"/>
          <w:numId w:val="1"/>
        </w:numPr>
        <w:tabs>
          <w:tab w:val="left" w:pos="909"/>
          <w:tab w:val="left" w:pos="912"/>
        </w:tabs>
        <w:ind w:left="912" w:right="208" w:hanging="43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20093">
        <w:t>RIRC</w:t>
      </w:r>
      <w:r>
        <w:rPr>
          <w:spacing w:val="-4"/>
        </w:rPr>
        <w:t xml:space="preserve"> </w:t>
      </w:r>
      <w:r>
        <w:t>approves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approval,</w:t>
      </w:r>
      <w:r>
        <w:rPr>
          <w:spacing w:val="-4"/>
        </w:rPr>
        <w:t xml:space="preserve"> </w:t>
      </w:r>
      <w:r>
        <w:t xml:space="preserve">the expiration of approval (as </w:t>
      </w:r>
      <w:r w:rsidR="00C90C2D">
        <w:t>applicable</w:t>
      </w:r>
      <w:r>
        <w:t xml:space="preserve">), and the effective date. The date of the expiration is explained in </w:t>
      </w:r>
      <w:r w:rsidR="00520093">
        <w:t>RIRC</w:t>
      </w:r>
      <w:r>
        <w:t xml:space="preserve"> SOP 307: Approval Period and 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Expiration. The approval is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as of</w:t>
      </w:r>
      <w:r>
        <w:rPr>
          <w:spacing w:val="-2"/>
        </w:rPr>
        <w:t xml:space="preserve"> </w:t>
      </w:r>
      <w:r>
        <w:t>the day the</w:t>
      </w:r>
      <w:r>
        <w:rPr>
          <w:spacing w:val="-2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issued.</w:t>
      </w:r>
    </w:p>
    <w:p w14:paraId="3C1E9F6A" w14:textId="77777777" w:rsidR="00BF03B4" w:rsidRDefault="00BF03B4">
      <w:pPr>
        <w:pStyle w:val="BodyText"/>
        <w:rPr>
          <w:sz w:val="16"/>
        </w:rPr>
      </w:pPr>
    </w:p>
    <w:p w14:paraId="3C1E9F6F" w14:textId="42FF3BBD" w:rsidR="00BF03B4" w:rsidRDefault="008B796F">
      <w:pPr>
        <w:pStyle w:val="ListParagraph"/>
        <w:numPr>
          <w:ilvl w:val="1"/>
          <w:numId w:val="1"/>
        </w:numPr>
        <w:tabs>
          <w:tab w:val="left" w:pos="908"/>
          <w:tab w:val="left" w:pos="912"/>
        </w:tabs>
        <w:spacing w:before="90"/>
        <w:ind w:left="912" w:right="441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20093">
        <w:t>RIRC</w:t>
      </w:r>
      <w:r>
        <w:rPr>
          <w:spacing w:val="-5"/>
        </w:rPr>
        <w:t xml:space="preserve"> </w:t>
      </w:r>
      <w:r>
        <w:t>disapproves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reason(s)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disapproval and instructions to the investigator for appeal of the decision.</w:t>
      </w:r>
    </w:p>
    <w:p w14:paraId="3C1E9F70" w14:textId="593F3CBD" w:rsidR="00BF03B4" w:rsidRDefault="008B796F">
      <w:pPr>
        <w:pStyle w:val="ListParagraph"/>
        <w:numPr>
          <w:ilvl w:val="1"/>
          <w:numId w:val="1"/>
        </w:numPr>
        <w:tabs>
          <w:tab w:val="left" w:pos="908"/>
          <w:tab w:val="left" w:pos="912"/>
        </w:tabs>
        <w:spacing w:before="238"/>
        <w:ind w:left="912" w:right="227"/>
      </w:pPr>
      <w:r>
        <w:t xml:space="preserve">If the </w:t>
      </w:r>
      <w:r w:rsidR="00520093">
        <w:t>RIRC</w:t>
      </w:r>
      <w:r>
        <w:t xml:space="preserve"> requires additional materials or a response from the investigator or sponsor, the notification describes the request(s) of the </w:t>
      </w:r>
      <w:r w:rsidR="00520093">
        <w:t>RIRC</w:t>
      </w:r>
      <w:r>
        <w:t xml:space="preserve"> in detail. </w:t>
      </w:r>
    </w:p>
    <w:p w14:paraId="3C1E9F71" w14:textId="77777777" w:rsidR="00BF03B4" w:rsidRDefault="00BF03B4">
      <w:pPr>
        <w:pStyle w:val="BodyText"/>
        <w:rPr>
          <w:sz w:val="16"/>
        </w:rPr>
      </w:pPr>
    </w:p>
    <w:p w14:paraId="3C1E9F72" w14:textId="77777777" w:rsidR="00BF03B4" w:rsidRDefault="00BF03B4">
      <w:pPr>
        <w:pStyle w:val="BodyText"/>
        <w:rPr>
          <w:sz w:val="16"/>
        </w:rPr>
      </w:pPr>
    </w:p>
    <w:p w14:paraId="3C1E9F73" w14:textId="77777777" w:rsidR="00BF03B4" w:rsidRDefault="00BF03B4">
      <w:pPr>
        <w:pStyle w:val="BodyText"/>
        <w:rPr>
          <w:sz w:val="16"/>
        </w:rPr>
      </w:pPr>
    </w:p>
    <w:p w14:paraId="3C1E9FA0" w14:textId="77777777" w:rsidR="00BF03B4" w:rsidRDefault="00BF03B4">
      <w:pPr>
        <w:pStyle w:val="BodyText"/>
        <w:rPr>
          <w:sz w:val="16"/>
        </w:rPr>
      </w:pPr>
    </w:p>
    <w:p w14:paraId="3C1E9FA1" w14:textId="77777777" w:rsidR="00BF03B4" w:rsidRDefault="00BF03B4">
      <w:pPr>
        <w:pStyle w:val="BodyText"/>
        <w:rPr>
          <w:sz w:val="16"/>
        </w:rPr>
      </w:pPr>
    </w:p>
    <w:p w14:paraId="3C1E9FA2" w14:textId="77777777" w:rsidR="00BF03B4" w:rsidRDefault="00BF03B4">
      <w:pPr>
        <w:pStyle w:val="BodyText"/>
        <w:rPr>
          <w:sz w:val="16"/>
        </w:rPr>
      </w:pPr>
    </w:p>
    <w:p w14:paraId="3C1E9FA3" w14:textId="77777777" w:rsidR="00BF03B4" w:rsidRDefault="00BF03B4">
      <w:pPr>
        <w:pStyle w:val="BodyText"/>
        <w:spacing w:before="170"/>
        <w:rPr>
          <w:sz w:val="16"/>
        </w:rPr>
      </w:pPr>
    </w:p>
    <w:sectPr w:rsidR="00BF03B4">
      <w:pgSz w:w="12240" w:h="15840"/>
      <w:pgMar w:top="1760" w:right="1340" w:bottom="1460" w:left="1320" w:header="720" w:footer="1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C54E" w14:textId="77777777" w:rsidR="003C736F" w:rsidRDefault="003C736F">
      <w:r>
        <w:separator/>
      </w:r>
    </w:p>
  </w:endnote>
  <w:endnote w:type="continuationSeparator" w:id="0">
    <w:p w14:paraId="2AC123D3" w14:textId="77777777" w:rsidR="003C736F" w:rsidRDefault="003C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9FA8" w14:textId="77777777" w:rsidR="00BF03B4" w:rsidRDefault="008B79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1E9FAD" wp14:editId="3C1E9FAE">
              <wp:simplePos x="0" y="0"/>
              <wp:positionH relativeFrom="page">
                <wp:posOffset>901700</wp:posOffset>
              </wp:positionH>
              <wp:positionV relativeFrom="page">
                <wp:posOffset>9111106</wp:posOffset>
              </wp:positionV>
              <wp:extent cx="3167380" cy="3467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7380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E9FB1" w14:textId="77777777" w:rsidR="00BF03B4" w:rsidRDefault="008B796F">
                          <w:pPr>
                            <w:spacing w:line="184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305: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Documentation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Discussions,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Decisions,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Findings</w:t>
                          </w:r>
                        </w:p>
                        <w:p w14:paraId="1F5DB323" w14:textId="287F6642" w:rsidR="00242FBC" w:rsidRDefault="00242FB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</w:t>
                          </w:r>
                          <w:r w:rsidR="005B0A6D">
                            <w:rPr>
                              <w:spacing w:val="-2"/>
                              <w:sz w:val="16"/>
                            </w:rPr>
                            <w:t>ersion date 03-30-2024</w:t>
                          </w:r>
                        </w:p>
                        <w:p w14:paraId="3C1E9FB2" w14:textId="15C9A60D" w:rsidR="00BF03B4" w:rsidRDefault="00BF03B4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  <w:p w14:paraId="3C1E9FB3" w14:textId="77777777" w:rsidR="00BF03B4" w:rsidRDefault="008B796F">
                          <w:pPr>
                            <w:spacing w:before="1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E9F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71pt;margin-top:717.4pt;width:249.4pt;height:27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" filled="f" stroked="f">
              <v:textbox inset="0,0,0,0">
                <w:txbxContent>
                  <w:p w14:paraId="3C1E9FB1" w14:textId="77777777" w:rsidR="00BF03B4" w:rsidRDefault="008B796F">
                    <w:pPr>
                      <w:spacing w:line="184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305: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Documentation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Discussions,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Decisions,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Findings</w:t>
                    </w:r>
                  </w:p>
                  <w:p w14:paraId="1F5DB323" w14:textId="287F6642" w:rsidR="00242FBC" w:rsidRDefault="00242FBC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</w:t>
                    </w:r>
                    <w:r w:rsidR="005B0A6D">
                      <w:rPr>
                        <w:spacing w:val="-2"/>
                        <w:sz w:val="16"/>
                      </w:rPr>
                      <w:t>ersion date 03-30-2024</w:t>
                    </w:r>
                  </w:p>
                  <w:p w14:paraId="3C1E9FB2" w14:textId="15C9A60D" w:rsidR="00BF03B4" w:rsidRDefault="00BF03B4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  <w:p w14:paraId="3C1E9FB3" w14:textId="77777777" w:rsidR="00BF03B4" w:rsidRDefault="008B796F">
                    <w:pPr>
                      <w:spacing w:before="1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FF24" w14:textId="77777777" w:rsidR="003C736F" w:rsidRDefault="003C736F">
      <w:r>
        <w:separator/>
      </w:r>
    </w:p>
  </w:footnote>
  <w:footnote w:type="continuationSeparator" w:id="0">
    <w:p w14:paraId="20A1C0DF" w14:textId="77777777" w:rsidR="003C736F" w:rsidRDefault="003C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9FA7" w14:textId="05BBC607" w:rsidR="00BF03B4" w:rsidRDefault="008B79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1E9FAB" wp14:editId="0FA8A555">
              <wp:simplePos x="0" y="0"/>
              <wp:positionH relativeFrom="page">
                <wp:posOffset>4367276</wp:posOffset>
              </wp:positionH>
              <wp:positionV relativeFrom="page">
                <wp:posOffset>665861</wp:posOffset>
              </wp:positionV>
              <wp:extent cx="268097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9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E9FB0" w14:textId="2D0052A9" w:rsidR="00BF03B4" w:rsidRDefault="00BF03B4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E9F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43.9pt;margin-top:52.45pt;width:211.1pt;height:1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" filled="f" stroked="f">
              <v:textbox inset="0,0,0,0">
                <w:txbxContent>
                  <w:p w14:paraId="3C1E9FB0" w14:textId="2D0052A9" w:rsidR="00BF03B4" w:rsidRDefault="00BF03B4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D74F6"/>
    <w:multiLevelType w:val="multilevel"/>
    <w:tmpl w:val="C6CC302C"/>
    <w:lvl w:ilvl="0">
      <w:start w:val="1"/>
      <w:numFmt w:val="decimal"/>
      <w:lvlText w:val="%1."/>
      <w:lvlJc w:val="left"/>
      <w:pPr>
        <w:ind w:left="47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10" w:hanging="4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47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5" w:hanging="361"/>
      </w:pPr>
      <w:rPr>
        <w:rFonts w:hint="default"/>
        <w:lang w:val="en-US" w:eastAsia="en-US" w:bidi="ar-SA"/>
      </w:rPr>
    </w:lvl>
  </w:abstractNum>
  <w:num w:numId="1" w16cid:durableId="198045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B4"/>
    <w:rsid w:val="00051945"/>
    <w:rsid w:val="00242FBC"/>
    <w:rsid w:val="003A3F06"/>
    <w:rsid w:val="003C736F"/>
    <w:rsid w:val="003F75F4"/>
    <w:rsid w:val="00426A11"/>
    <w:rsid w:val="00520093"/>
    <w:rsid w:val="005B0A6D"/>
    <w:rsid w:val="006B4A34"/>
    <w:rsid w:val="008B796F"/>
    <w:rsid w:val="009777AF"/>
    <w:rsid w:val="009B57CA"/>
    <w:rsid w:val="00BF03B4"/>
    <w:rsid w:val="00C90C2D"/>
    <w:rsid w:val="00F45C32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9F35"/>
  <w15:docId w15:val="{B7AA4671-3A2B-40AB-A74E-D1E97D9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478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0"/>
      <w:ind w:left="912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7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7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7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7AF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F45C32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6A14A-52EF-45ED-A895-B068B1BA0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614F9-B048-4579-9005-DF561A53FEDE}">
  <ds:schemaRefs>
    <ds:schemaRef ds:uri="http://schemas.microsoft.com/office/2006/metadata/properties"/>
    <ds:schemaRef ds:uri="http://schemas.microsoft.com/office/infopath/2007/PartnerControls"/>
    <ds:schemaRef ds:uri="b7231b89-4636-4e87-bf18-5864c59853ef"/>
  </ds:schemaRefs>
</ds:datastoreItem>
</file>

<file path=customXml/itemProps3.xml><?xml version="1.0" encoding="utf-8"?>
<ds:datastoreItem xmlns:ds="http://schemas.openxmlformats.org/officeDocument/2006/customXml" ds:itemID="{95DD84AC-0A62-4776-A839-686E76FE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Alexandre Guilloux</cp:lastModifiedBy>
  <cp:revision>3</cp:revision>
  <dcterms:created xsi:type="dcterms:W3CDTF">2024-05-04T01:30:00Z</dcterms:created>
  <dcterms:modified xsi:type="dcterms:W3CDTF">2024-06-22T06:13:00Z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D:20221010210138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2024-04-06T00:40:17Z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40d13ca1-a5a8-4ccf-a38d-7463d1e3fdbc</vt:lpwstr>
  </property>
  <property fmtid="{D5CDD505-2E9C-101B-9397-08002B2CF9AE}" pid="14" name="MSIP_Label_bfe2c8f9-1977-4483-bc2a-a0132c8c75ea_ContentBits">
    <vt:lpwstr>0</vt:lpwstr>
  </property>
</Properties>
</file>