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141B" w14:textId="77777777" w:rsidR="003728F1" w:rsidRDefault="003728F1">
      <w:pPr>
        <w:sectPr w:rsidR="003728F1">
          <w:type w:val="continuous"/>
          <w:pgSz w:w="12240" w:h="15840"/>
          <w:pgMar w:top="920" w:right="1340" w:bottom="280" w:left="800" w:header="720" w:footer="720" w:gutter="0"/>
          <w:cols w:num="2" w:space="720" w:equalWidth="0">
            <w:col w:w="4681" w:space="877"/>
            <w:col w:w="4542"/>
          </w:cols>
        </w:sectPr>
      </w:pPr>
    </w:p>
    <w:p w14:paraId="7071141C" w14:textId="77777777" w:rsidR="003728F1" w:rsidRDefault="003728F1">
      <w:pPr>
        <w:pStyle w:val="BodyText"/>
        <w:rPr>
          <w:b/>
          <w:sz w:val="20"/>
        </w:rPr>
      </w:pPr>
    </w:p>
    <w:p w14:paraId="7071141D" w14:textId="77777777" w:rsidR="003728F1" w:rsidRDefault="003728F1">
      <w:pPr>
        <w:pStyle w:val="BodyText"/>
        <w:spacing w:before="10"/>
        <w:rPr>
          <w:b/>
          <w:sz w:val="20"/>
        </w:rPr>
      </w:pPr>
    </w:p>
    <w:p w14:paraId="7071141E" w14:textId="77777777" w:rsidR="003728F1" w:rsidRDefault="003B07EA">
      <w:pPr>
        <w:pStyle w:val="BodyText"/>
        <w:ind w:left="640"/>
        <w:rPr>
          <w:sz w:val="20"/>
        </w:rPr>
      </w:pPr>
      <w:r>
        <w:rPr>
          <w:noProof/>
          <w:sz w:val="20"/>
        </w:rPr>
        <mc:AlternateContent>
          <mc:Choice Requires="wpg">
            <w:drawing>
              <wp:inline distT="0" distB="0" distL="0" distR="0" wp14:anchorId="7071144D" wp14:editId="7071144E">
                <wp:extent cx="5943600" cy="400050"/>
                <wp:effectExtent l="0"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0050"/>
                          <a:chOff x="0" y="0"/>
                          <a:chExt cx="5943600" cy="400050"/>
                        </a:xfrm>
                      </wpg:grpSpPr>
                      <wps:wsp>
                        <wps:cNvPr id="3" name="Graphic 3"/>
                        <wps:cNvSpPr/>
                        <wps:spPr>
                          <a:xfrm>
                            <a:off x="0" y="0"/>
                            <a:ext cx="5943600" cy="400050"/>
                          </a:xfrm>
                          <a:custGeom>
                            <a:avLst/>
                            <a:gdLst/>
                            <a:ahLst/>
                            <a:cxnLst/>
                            <a:rect l="l" t="t" r="r" b="b"/>
                            <a:pathLst>
                              <a:path w="5943600" h="400050">
                                <a:moveTo>
                                  <a:pt x="5943600" y="0"/>
                                </a:moveTo>
                                <a:lnTo>
                                  <a:pt x="5937516" y="0"/>
                                </a:lnTo>
                                <a:lnTo>
                                  <a:pt x="5937504" y="6096"/>
                                </a:lnTo>
                                <a:lnTo>
                                  <a:pt x="6096" y="6108"/>
                                </a:lnTo>
                                <a:lnTo>
                                  <a:pt x="5937504" y="6096"/>
                                </a:lnTo>
                                <a:lnTo>
                                  <a:pt x="5937504" y="0"/>
                                </a:lnTo>
                                <a:lnTo>
                                  <a:pt x="6096" y="0"/>
                                </a:lnTo>
                                <a:lnTo>
                                  <a:pt x="0" y="0"/>
                                </a:lnTo>
                                <a:lnTo>
                                  <a:pt x="0" y="6083"/>
                                </a:lnTo>
                                <a:lnTo>
                                  <a:pt x="0" y="393954"/>
                                </a:lnTo>
                                <a:lnTo>
                                  <a:pt x="0" y="400050"/>
                                </a:lnTo>
                                <a:lnTo>
                                  <a:pt x="6096" y="400050"/>
                                </a:lnTo>
                                <a:lnTo>
                                  <a:pt x="5937504" y="400050"/>
                                </a:lnTo>
                                <a:lnTo>
                                  <a:pt x="5943600" y="400050"/>
                                </a:lnTo>
                                <a:lnTo>
                                  <a:pt x="5943600" y="393954"/>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0"/>
                            <a:ext cx="5937885" cy="400050"/>
                          </a:xfrm>
                          <a:prstGeom prst="rect">
                            <a:avLst/>
                          </a:prstGeom>
                        </wps:spPr>
                        <wps:txbx>
                          <w:txbxContent>
                            <w:p w14:paraId="7071144F" w14:textId="77777777" w:rsidR="003728F1" w:rsidRDefault="003B07EA">
                              <w:pPr>
                                <w:spacing w:before="119"/>
                                <w:jc w:val="center"/>
                                <w:rPr>
                                  <w:b/>
                                  <w:sz w:val="32"/>
                                </w:rPr>
                              </w:pPr>
                              <w:r>
                                <w:rPr>
                                  <w:b/>
                                  <w:color w:val="FFFFFF"/>
                                  <w:sz w:val="32"/>
                                </w:rPr>
                                <w:t>SOP</w:t>
                              </w:r>
                              <w:r>
                                <w:rPr>
                                  <w:b/>
                                  <w:color w:val="FFFFFF"/>
                                  <w:spacing w:val="-5"/>
                                  <w:sz w:val="32"/>
                                </w:rPr>
                                <w:t xml:space="preserve"> </w:t>
                              </w:r>
                              <w:r>
                                <w:rPr>
                                  <w:b/>
                                  <w:color w:val="FFFFFF"/>
                                  <w:sz w:val="32"/>
                                </w:rPr>
                                <w:t>105:</w:t>
                              </w:r>
                              <w:r>
                                <w:rPr>
                                  <w:b/>
                                  <w:color w:val="FFFFFF"/>
                                  <w:spacing w:val="-4"/>
                                  <w:sz w:val="32"/>
                                </w:rPr>
                                <w:t xml:space="preserve"> </w:t>
                              </w:r>
                              <w:r>
                                <w:rPr>
                                  <w:b/>
                                  <w:color w:val="FFFFFF"/>
                                  <w:sz w:val="32"/>
                                </w:rPr>
                                <w:t>NON-FEDERALLY</w:t>
                              </w:r>
                              <w:r>
                                <w:rPr>
                                  <w:b/>
                                  <w:color w:val="FFFFFF"/>
                                  <w:spacing w:val="-6"/>
                                  <w:sz w:val="32"/>
                                </w:rPr>
                                <w:t xml:space="preserve"> </w:t>
                              </w:r>
                              <w:r>
                                <w:rPr>
                                  <w:b/>
                                  <w:color w:val="FFFFFF"/>
                                  <w:sz w:val="32"/>
                                </w:rPr>
                                <w:t>FUNDED</w:t>
                              </w:r>
                              <w:r>
                                <w:rPr>
                                  <w:b/>
                                  <w:color w:val="FFFFFF"/>
                                  <w:spacing w:val="-4"/>
                                  <w:sz w:val="32"/>
                                </w:rPr>
                                <w:t xml:space="preserve"> </w:t>
                              </w:r>
                              <w:r>
                                <w:rPr>
                                  <w:b/>
                                  <w:color w:val="FFFFFF"/>
                                  <w:spacing w:val="-2"/>
                                  <w:sz w:val="32"/>
                                </w:rPr>
                                <w:t>RESEARCH</w:t>
                              </w:r>
                            </w:p>
                          </w:txbxContent>
                        </wps:txbx>
                        <wps:bodyPr wrap="square" lIns="0" tIns="0" rIns="0" bIns="0" rtlCol="0">
                          <a:noAutofit/>
                        </wps:bodyPr>
                      </wps:wsp>
                    </wpg:wgp>
                  </a:graphicData>
                </a:graphic>
              </wp:inline>
            </w:drawing>
          </mc:Choice>
          <mc:Fallback>
            <w:pict>
              <v:group w14:anchorId="7071144D" id="Group 2" o:spid="_x0000_s1026" style="width:468pt;height:31.5pt;mso-position-horizontal-relative:char;mso-position-vertical-relative:line" coordsize="5943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UfKgMAALwJAAAOAAAAZHJzL2Uyb0RvYy54bWy8VltP2zAUfp+0/2D5fSQlbWkjUrTBQJMQ&#10;Q6LTnl3HuWhJ7NluE/79ju3cVkQpMK0P6Un8+fic79x8ftGUBdoxqXJeRXhy4mPEKsrjvEoj/GN9&#10;/WmBkdKkiknBKxbhR6bwxerjh/NahOyUZ7yImUSgpFJhLSKcaS1Cz1M0YyVRJ1ywChYTLkui4VWm&#10;XixJDdrLwjv1/blXcxkLySlTCr5euUW8svqThFH9PUkU06iIMNim7VPa58Y8vdU5CVNJRJbT1gzy&#10;BitKkldwaK/qimiCtjJ/oqrMqeSKJ/qE8tLjSZJTZn0Abyb+njc3km+F9SUN61T0NAG1ezy9WS29&#10;291LlMcRPsWoIiWEyJ6KTg01tUhDQNxI8SDupfMPxFtOfylY9vbXzXs6gJtElmYTuIkay/ljzzlr&#10;NKLwcbacBnMfQkNhber7/qwNCs0gck+20ezr4Y0eCd2x1rjemFpAfqmBQvU+Ch8yIpiNjDIEtRQG&#10;A4UuoQJHosUYBi2lKlQtme/gp3eThHSr9A3jlmmyu1Xa5XTcSSTrJNpUnSihMkxNFLYmNEZQExIj&#10;qImNqwlBtNlnwmdEVI9ClfWRMssl37E1t0Bt4tVHtAs22DpgiupvbHA2m8wxGmE7RPcvWq2A9KcW&#10;OfeXc2MlKO5A3b8DW4DROZ/4i4PI2fIVasdgm6UvG3AYBmn/ouMOM/cXNpmePdHBgmWwnE0PeuyA&#10;Q6U9q7En8QjsmJmj4G3Rg/evhB/h4TgBX0yVMXg/WLTgirk8MzVgE66vC+BtXHmKF3l8nReFKQQl&#10;081lIdGOmLFjf21MRjBoUF0rMNKGx4/QR2qYRRFWv7dEMoyKbxV0KgiZ7gTZCZtOkLq45Ha82RqU&#10;Sq+bn0QKJECMsIZOe8e7hkXCrkWA/QbgsGZnxT9vNU9y0z+sbc6i9gWap5kH/6GLQo27QbQGyze8&#10;QTafzdHQaU0XRbr5wqHRTAynA4ld4+/nTeBPz4YCI+EwcoKzxWK2P3KAkK4hG2JMS20pNM3STvc9&#10;7lzX3YujbjZNa9c/CukRgbHDDq4INkXb64y5g4zfbSCHS9fqDwAAAP//AwBQSwMEFAAGAAgAAAAh&#10;ANgXCbvbAAAABAEAAA8AAABkcnMvZG93bnJldi54bWxMj0FLw0AQhe+C/2EZwZvdxGDQmE0pRT0V&#10;wVYQb9NkmoRmZ0N2m6T/3tGLvTx4vOG9b/LlbDs10uBbxwbiRQSKuHRVy7WBz93r3SMoH5Ar7ByT&#10;gTN5WBbXVzlmlZv4g8ZtqJWUsM/QQBNCn2nty4Ys+oXriSU7uMFiEDvUuhpwknLb6fsoSrXFlmWh&#10;wZ7WDZXH7ckaeJtwWiXxy7g5Htbn793D+9cmJmNub+bVM6hAc/g/hl98QYdCmPbuxJVXnQF5JPyp&#10;ZE9JKnZvIE0i0EWuL+GLHwAAAP//AwBQSwECLQAUAAYACAAAACEAtoM4kv4AAADhAQAAEwAAAAAA&#10;AAAAAAAAAAAAAAAAW0NvbnRlbnRfVHlwZXNdLnhtbFBLAQItABQABgAIAAAAIQA4/SH/1gAAAJQB&#10;AAALAAAAAAAAAAAAAAAAAC8BAABfcmVscy8ucmVsc1BLAQItABQABgAIAAAAIQDgkdUfKgMAALwJ&#10;AAAOAAAAAAAAAAAAAAAAAC4CAABkcnMvZTJvRG9jLnhtbFBLAQItABQABgAIAAAAIQDYFwm72wAA&#10;AAQBAAAPAAAAAAAAAAAAAAAAAIQFAABkcnMvZG93bnJldi54bWxQSwUGAAAAAAQABADzAAAAjAYA&#10;AAAA&#10;">
                <v:shape id="Graphic 3" o:spid="_x0000_s1027" style="position:absolute;width:59436;height:4000;visibility:visible;mso-wrap-style:square;v-text-anchor:top" coordsize="5943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wwwwAAANoAAAAPAAAAZHJzL2Rvd25yZXYueG1sRI9fa8JA&#10;EMTfhX6HYwu+6aUVRVNPsZWChaL4B5+X3DYJze2luW1Mv31PEHwcZuY3zHzZuUq11ITSs4GnYQKK&#10;OPO25NzA6fg+mIIKgmyx8kwG/ijAcvHQm2Nq/YX31B4kVxHCIUUDhUidah2yghyGoa+Jo/flG4cS&#10;ZZNr2+Alwl2ln5Nkoh2WHBcKrOmtoOz78OsMfOh1rVd+fGacSfvzuX2V3bozpv/YrV5ACXVyD9/a&#10;G2tgBNcr8QboxT8AAAD//wMAUEsBAi0AFAAGAAgAAAAhANvh9svuAAAAhQEAABMAAAAAAAAAAAAA&#10;AAAAAAAAAFtDb250ZW50X1R5cGVzXS54bWxQSwECLQAUAAYACAAAACEAWvQsW78AAAAVAQAACwAA&#10;AAAAAAAAAAAAAAAfAQAAX3JlbHMvLnJlbHNQSwECLQAUAAYACAAAACEAIh3MMMMAAADaAAAADwAA&#10;AAAAAAAAAAAAAAAHAgAAZHJzL2Rvd25yZXYueG1sUEsFBgAAAAADAAMAtwAAAPcCAAAAAA==&#10;" path="m5943600,r-6084,l5937504,6096,6096,6108r5931408,-12l5937504,,6096,,,,,6083,,393954r,6096l6096,400050r5931408,l5943600,400050r,-6096l5943600,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937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071144F" w14:textId="77777777" w:rsidR="003728F1" w:rsidRDefault="003B07EA">
                        <w:pPr>
                          <w:spacing w:before="119"/>
                          <w:jc w:val="center"/>
                          <w:rPr>
                            <w:b/>
                            <w:sz w:val="32"/>
                          </w:rPr>
                        </w:pPr>
                        <w:r>
                          <w:rPr>
                            <w:b/>
                            <w:color w:val="FFFFFF"/>
                            <w:sz w:val="32"/>
                          </w:rPr>
                          <w:t>SOP</w:t>
                        </w:r>
                        <w:r>
                          <w:rPr>
                            <w:b/>
                            <w:color w:val="FFFFFF"/>
                            <w:spacing w:val="-5"/>
                            <w:sz w:val="32"/>
                          </w:rPr>
                          <w:t xml:space="preserve"> </w:t>
                        </w:r>
                        <w:r>
                          <w:rPr>
                            <w:b/>
                            <w:color w:val="FFFFFF"/>
                            <w:sz w:val="32"/>
                          </w:rPr>
                          <w:t>105:</w:t>
                        </w:r>
                        <w:r>
                          <w:rPr>
                            <w:b/>
                            <w:color w:val="FFFFFF"/>
                            <w:spacing w:val="-4"/>
                            <w:sz w:val="32"/>
                          </w:rPr>
                          <w:t xml:space="preserve"> </w:t>
                        </w:r>
                        <w:r>
                          <w:rPr>
                            <w:b/>
                            <w:color w:val="FFFFFF"/>
                            <w:sz w:val="32"/>
                          </w:rPr>
                          <w:t>NON-FEDERALLY</w:t>
                        </w:r>
                        <w:r>
                          <w:rPr>
                            <w:b/>
                            <w:color w:val="FFFFFF"/>
                            <w:spacing w:val="-6"/>
                            <w:sz w:val="32"/>
                          </w:rPr>
                          <w:t xml:space="preserve"> </w:t>
                        </w:r>
                        <w:r>
                          <w:rPr>
                            <w:b/>
                            <w:color w:val="FFFFFF"/>
                            <w:sz w:val="32"/>
                          </w:rPr>
                          <w:t>FUNDED</w:t>
                        </w:r>
                        <w:r>
                          <w:rPr>
                            <w:b/>
                            <w:color w:val="FFFFFF"/>
                            <w:spacing w:val="-4"/>
                            <w:sz w:val="32"/>
                          </w:rPr>
                          <w:t xml:space="preserve"> </w:t>
                        </w:r>
                        <w:r>
                          <w:rPr>
                            <w:b/>
                            <w:color w:val="FFFFFF"/>
                            <w:spacing w:val="-2"/>
                            <w:sz w:val="32"/>
                          </w:rPr>
                          <w:t>RESEARCH</w:t>
                        </w:r>
                      </w:p>
                    </w:txbxContent>
                  </v:textbox>
                </v:shape>
                <w10:anchorlock/>
              </v:group>
            </w:pict>
          </mc:Fallback>
        </mc:AlternateContent>
      </w:r>
    </w:p>
    <w:p w14:paraId="7071141F" w14:textId="3786A6E7" w:rsidR="003728F1" w:rsidRDefault="003B07EA">
      <w:pPr>
        <w:pStyle w:val="BodyText"/>
        <w:spacing w:before="243"/>
        <w:ind w:left="640" w:right="37"/>
      </w:pPr>
      <w:r>
        <w:t>The Queen’s Medical Center Research Institutional Review Committee (RIRC) reviews both federally-funded research and non-federally funded research. RIRC will apply the the Common for the Protection of Human Subjects (the Common Rule) to all human subject research conducted at this institution which is supported by federal agencies or FDA regulated, and its affiliates. Non-federally</w:t>
      </w:r>
      <w:r>
        <w:rPr>
          <w:spacing w:val="-4"/>
        </w:rPr>
        <w:t xml:space="preserve"> </w:t>
      </w:r>
      <w:r>
        <w:t>funded</w:t>
      </w:r>
      <w:r>
        <w:rPr>
          <w:spacing w:val="-4"/>
        </w:rPr>
        <w:t xml:space="preserve"> </w:t>
      </w:r>
      <w:r>
        <w:t>research</w:t>
      </w:r>
      <w:r>
        <w:rPr>
          <w:spacing w:val="-3"/>
        </w:rPr>
        <w:t xml:space="preserve"> </w:t>
      </w:r>
      <w:r>
        <w:t>is</w:t>
      </w:r>
      <w:r>
        <w:rPr>
          <w:spacing w:val="-4"/>
        </w:rPr>
        <w:t xml:space="preserve"> </w:t>
      </w:r>
      <w:r>
        <w:t>subject</w:t>
      </w:r>
      <w:r>
        <w:rPr>
          <w:spacing w:val="-4"/>
        </w:rPr>
        <w:t xml:space="preserve"> </w:t>
      </w:r>
      <w:r>
        <w:t>to</w:t>
      </w:r>
      <w:r>
        <w:rPr>
          <w:spacing w:val="-2"/>
        </w:rPr>
        <w:t xml:space="preserve"> </w:t>
      </w:r>
      <w:r>
        <w:t>the</w:t>
      </w:r>
      <w:r>
        <w:rPr>
          <w:spacing w:val="-4"/>
        </w:rPr>
        <w:t xml:space="preserve"> </w:t>
      </w:r>
      <w:r>
        <w:t>review using commensurate protections.</w:t>
      </w:r>
      <w:r>
        <w:rPr>
          <w:spacing w:val="-4"/>
        </w:rPr>
        <w:t xml:space="preserve"> </w:t>
      </w:r>
    </w:p>
    <w:p w14:paraId="70711420" w14:textId="77777777" w:rsidR="003728F1" w:rsidRDefault="003728F1">
      <w:pPr>
        <w:pStyle w:val="BodyText"/>
      </w:pPr>
    </w:p>
    <w:p w14:paraId="70711421" w14:textId="17913B3A" w:rsidR="003728F1" w:rsidRDefault="003B07EA">
      <w:pPr>
        <w:pStyle w:val="BodyText"/>
        <w:ind w:left="640"/>
      </w:pPr>
      <w:r>
        <w:t>Among some of the areas of difference,</w:t>
      </w:r>
      <w:r>
        <w:rPr>
          <w:spacing w:val="-9"/>
        </w:rPr>
        <w:t xml:space="preserve"> </w:t>
      </w:r>
      <w:r>
        <w:t>non-federally</w:t>
      </w:r>
      <w:r>
        <w:rPr>
          <w:spacing w:val="-9"/>
        </w:rPr>
        <w:t xml:space="preserve"> </w:t>
      </w:r>
      <w:r>
        <w:t>funded</w:t>
      </w:r>
      <w:r>
        <w:rPr>
          <w:spacing w:val="-8"/>
        </w:rPr>
        <w:t xml:space="preserve"> </w:t>
      </w:r>
      <w:r>
        <w:t>research</w:t>
      </w:r>
      <w:r>
        <w:rPr>
          <w:spacing w:val="-9"/>
        </w:rPr>
        <w:t xml:space="preserve"> </w:t>
      </w:r>
      <w:r>
        <w:t>is</w:t>
      </w:r>
      <w:r>
        <w:rPr>
          <w:spacing w:val="-7"/>
        </w:rPr>
        <w:t xml:space="preserve"> </w:t>
      </w:r>
      <w:r>
        <w:t>not</w:t>
      </w:r>
      <w:r>
        <w:rPr>
          <w:spacing w:val="-9"/>
        </w:rPr>
        <w:t xml:space="preserve"> </w:t>
      </w:r>
      <w:r>
        <w:t>subject</w:t>
      </w:r>
      <w:r>
        <w:rPr>
          <w:spacing w:val="-8"/>
        </w:rPr>
        <w:t xml:space="preserve"> </w:t>
      </w:r>
      <w:r>
        <w:t>to</w:t>
      </w:r>
      <w:r>
        <w:rPr>
          <w:spacing w:val="-7"/>
        </w:rPr>
        <w:t xml:space="preserve"> </w:t>
      </w:r>
      <w:r>
        <w:t>the</w:t>
      </w:r>
      <w:r>
        <w:rPr>
          <w:spacing w:val="-8"/>
        </w:rPr>
        <w:t xml:space="preserve"> </w:t>
      </w:r>
      <w:r>
        <w:t>same</w:t>
      </w:r>
      <w:r>
        <w:rPr>
          <w:spacing w:val="-9"/>
        </w:rPr>
        <w:t xml:space="preserve"> </w:t>
      </w:r>
      <w:r>
        <w:t>requirements</w:t>
      </w:r>
      <w:r>
        <w:rPr>
          <w:spacing w:val="-9"/>
        </w:rPr>
        <w:t xml:space="preserve"> </w:t>
      </w:r>
      <w:r>
        <w:rPr>
          <w:spacing w:val="-4"/>
        </w:rPr>
        <w:t>for:</w:t>
      </w:r>
    </w:p>
    <w:p w14:paraId="70711422" w14:textId="77777777" w:rsidR="003728F1" w:rsidRDefault="003B07EA">
      <w:pPr>
        <w:pStyle w:val="ListParagraph"/>
        <w:numPr>
          <w:ilvl w:val="0"/>
          <w:numId w:val="1"/>
        </w:numPr>
        <w:tabs>
          <w:tab w:val="left" w:pos="1408"/>
        </w:tabs>
        <w:spacing w:before="1" w:line="240" w:lineRule="auto"/>
        <w:ind w:right="540"/>
      </w:pPr>
      <w:r>
        <w:t>Approval</w:t>
      </w:r>
      <w:r>
        <w:rPr>
          <w:spacing w:val="-4"/>
        </w:rPr>
        <w:t xml:space="preserve"> </w:t>
      </w:r>
      <w:r>
        <w:t>periods</w:t>
      </w:r>
      <w:r>
        <w:rPr>
          <w:spacing w:val="-4"/>
        </w:rPr>
        <w:t xml:space="preserve"> </w:t>
      </w:r>
      <w:r>
        <w:t>and</w:t>
      </w:r>
      <w:r>
        <w:rPr>
          <w:spacing w:val="-4"/>
        </w:rPr>
        <w:t xml:space="preserve"> </w:t>
      </w:r>
      <w:r>
        <w:t>expiration</w:t>
      </w:r>
      <w:r>
        <w:rPr>
          <w:spacing w:val="-4"/>
        </w:rPr>
        <w:t xml:space="preserve"> </w:t>
      </w:r>
      <w:r>
        <w:t>dates</w:t>
      </w:r>
      <w:r>
        <w:rPr>
          <w:spacing w:val="-2"/>
        </w:rPr>
        <w:t xml:space="preserve"> </w:t>
      </w:r>
      <w:r>
        <w:t>(see</w:t>
      </w:r>
      <w:r>
        <w:rPr>
          <w:spacing w:val="-4"/>
        </w:rPr>
        <w:t xml:space="preserve"> </w:t>
      </w:r>
      <w:r>
        <w:t>SOP</w:t>
      </w:r>
      <w:r>
        <w:rPr>
          <w:spacing w:val="-2"/>
        </w:rPr>
        <w:t xml:space="preserve"> </w:t>
      </w:r>
      <w:r>
        <w:t>307:</w:t>
      </w:r>
      <w:r>
        <w:rPr>
          <w:spacing w:val="-3"/>
        </w:rPr>
        <w:t xml:space="preserve"> </w:t>
      </w:r>
      <w:r>
        <w:t>Approval</w:t>
      </w:r>
      <w:r>
        <w:rPr>
          <w:spacing w:val="-4"/>
        </w:rPr>
        <w:t xml:space="preserve"> </w:t>
      </w:r>
      <w:r>
        <w:t>Period</w:t>
      </w:r>
      <w:r>
        <w:rPr>
          <w:spacing w:val="-4"/>
        </w:rPr>
        <w:t xml:space="preserve"> </w:t>
      </w:r>
      <w:r>
        <w:t>and</w:t>
      </w:r>
      <w:r>
        <w:rPr>
          <w:spacing w:val="-4"/>
        </w:rPr>
        <w:t xml:space="preserve"> </w:t>
      </w:r>
      <w:r>
        <w:t>Determination</w:t>
      </w:r>
      <w:r>
        <w:rPr>
          <w:spacing w:val="-3"/>
        </w:rPr>
        <w:t xml:space="preserve"> </w:t>
      </w:r>
      <w:r>
        <w:t xml:space="preserve">of </w:t>
      </w:r>
      <w:r>
        <w:rPr>
          <w:spacing w:val="-2"/>
        </w:rPr>
        <w:t>Expiration)</w:t>
      </w:r>
    </w:p>
    <w:p w14:paraId="70711423" w14:textId="77777777" w:rsidR="003728F1" w:rsidRDefault="003B07EA">
      <w:pPr>
        <w:pStyle w:val="ListParagraph"/>
        <w:numPr>
          <w:ilvl w:val="0"/>
          <w:numId w:val="1"/>
        </w:numPr>
        <w:tabs>
          <w:tab w:val="left" w:pos="1408"/>
        </w:tabs>
      </w:pPr>
      <w:r>
        <w:t>Continuing</w:t>
      </w:r>
      <w:r>
        <w:rPr>
          <w:spacing w:val="-8"/>
        </w:rPr>
        <w:t xml:space="preserve"> </w:t>
      </w:r>
      <w:r>
        <w:t>Review</w:t>
      </w:r>
      <w:r>
        <w:rPr>
          <w:spacing w:val="-8"/>
        </w:rPr>
        <w:t xml:space="preserve"> </w:t>
      </w:r>
      <w:r>
        <w:t>(See</w:t>
      </w:r>
      <w:r>
        <w:rPr>
          <w:spacing w:val="-8"/>
        </w:rPr>
        <w:t xml:space="preserve"> </w:t>
      </w:r>
      <w:r>
        <w:t>SOP</w:t>
      </w:r>
      <w:r>
        <w:rPr>
          <w:spacing w:val="-7"/>
        </w:rPr>
        <w:t xml:space="preserve"> </w:t>
      </w:r>
      <w:r>
        <w:t>404:</w:t>
      </w:r>
      <w:r>
        <w:rPr>
          <w:spacing w:val="-8"/>
        </w:rPr>
        <w:t xml:space="preserve"> </w:t>
      </w:r>
      <w:r>
        <w:t>Continuing</w:t>
      </w:r>
      <w:r>
        <w:rPr>
          <w:spacing w:val="-8"/>
        </w:rPr>
        <w:t xml:space="preserve"> </w:t>
      </w:r>
      <w:r>
        <w:rPr>
          <w:spacing w:val="-2"/>
        </w:rPr>
        <w:t>Review)</w:t>
      </w:r>
    </w:p>
    <w:p w14:paraId="70711424" w14:textId="77777777" w:rsidR="003728F1" w:rsidRDefault="003B07EA">
      <w:pPr>
        <w:pStyle w:val="ListParagraph"/>
        <w:numPr>
          <w:ilvl w:val="0"/>
          <w:numId w:val="1"/>
        </w:numPr>
        <w:tabs>
          <w:tab w:val="left" w:pos="1408"/>
        </w:tabs>
      </w:pPr>
      <w:r>
        <w:t>Exemption</w:t>
      </w:r>
      <w:r>
        <w:rPr>
          <w:spacing w:val="-7"/>
        </w:rPr>
        <w:t xml:space="preserve"> </w:t>
      </w:r>
      <w:r>
        <w:t>from</w:t>
      </w:r>
      <w:r>
        <w:rPr>
          <w:spacing w:val="-8"/>
        </w:rPr>
        <w:t xml:space="preserve"> </w:t>
      </w:r>
      <w:r>
        <w:t>IRB</w:t>
      </w:r>
      <w:r>
        <w:rPr>
          <w:spacing w:val="-6"/>
        </w:rPr>
        <w:t xml:space="preserve"> </w:t>
      </w:r>
      <w:r>
        <w:t>review</w:t>
      </w:r>
      <w:r>
        <w:rPr>
          <w:spacing w:val="-8"/>
        </w:rPr>
        <w:t xml:space="preserve"> </w:t>
      </w:r>
      <w:r>
        <w:t>(see</w:t>
      </w:r>
      <w:r>
        <w:rPr>
          <w:spacing w:val="-7"/>
        </w:rPr>
        <w:t xml:space="preserve"> </w:t>
      </w:r>
      <w:r>
        <w:t>SOP</w:t>
      </w:r>
      <w:r>
        <w:rPr>
          <w:spacing w:val="-6"/>
        </w:rPr>
        <w:t xml:space="preserve"> </w:t>
      </w:r>
      <w:r>
        <w:t>401b:</w:t>
      </w:r>
      <w:r>
        <w:rPr>
          <w:spacing w:val="-8"/>
        </w:rPr>
        <w:t xml:space="preserve"> </w:t>
      </w:r>
      <w:r>
        <w:t>Research</w:t>
      </w:r>
      <w:r>
        <w:rPr>
          <w:spacing w:val="-7"/>
        </w:rPr>
        <w:t xml:space="preserve"> </w:t>
      </w:r>
      <w:r>
        <w:t>Activities</w:t>
      </w:r>
      <w:r>
        <w:rPr>
          <w:spacing w:val="-6"/>
        </w:rPr>
        <w:t xml:space="preserve"> </w:t>
      </w:r>
      <w:r>
        <w:t>Exempt</w:t>
      </w:r>
      <w:r>
        <w:rPr>
          <w:spacing w:val="-8"/>
        </w:rPr>
        <w:t xml:space="preserve"> </w:t>
      </w:r>
      <w:r>
        <w:t>from</w:t>
      </w:r>
      <w:r>
        <w:rPr>
          <w:spacing w:val="-7"/>
        </w:rPr>
        <w:t xml:space="preserve"> </w:t>
      </w:r>
      <w:r>
        <w:t>IRB</w:t>
      </w:r>
      <w:r>
        <w:rPr>
          <w:spacing w:val="-6"/>
        </w:rPr>
        <w:t xml:space="preserve"> </w:t>
      </w:r>
      <w:r>
        <w:rPr>
          <w:spacing w:val="-2"/>
        </w:rPr>
        <w:t>Review)</w:t>
      </w:r>
    </w:p>
    <w:p w14:paraId="70711425" w14:textId="77777777" w:rsidR="003728F1" w:rsidRDefault="003B07EA">
      <w:pPr>
        <w:pStyle w:val="ListParagraph"/>
        <w:numPr>
          <w:ilvl w:val="0"/>
          <w:numId w:val="1"/>
        </w:numPr>
        <w:tabs>
          <w:tab w:val="left" w:pos="1408"/>
        </w:tabs>
      </w:pPr>
      <w:r>
        <w:t>Informed</w:t>
      </w:r>
      <w:r>
        <w:rPr>
          <w:spacing w:val="-10"/>
        </w:rPr>
        <w:t xml:space="preserve"> </w:t>
      </w:r>
      <w:r>
        <w:t>Consent</w:t>
      </w:r>
      <w:r>
        <w:rPr>
          <w:spacing w:val="-10"/>
        </w:rPr>
        <w:t xml:space="preserve"> </w:t>
      </w:r>
      <w:r>
        <w:t>requirements</w:t>
      </w:r>
      <w:r>
        <w:rPr>
          <w:spacing w:val="-7"/>
        </w:rPr>
        <w:t xml:space="preserve"> </w:t>
      </w:r>
      <w:r>
        <w:t>(see</w:t>
      </w:r>
      <w:r>
        <w:rPr>
          <w:spacing w:val="-9"/>
        </w:rPr>
        <w:t xml:space="preserve"> </w:t>
      </w:r>
      <w:r>
        <w:t>SOP</w:t>
      </w:r>
      <w:r>
        <w:rPr>
          <w:spacing w:val="-9"/>
        </w:rPr>
        <w:t xml:space="preserve"> </w:t>
      </w:r>
      <w:r>
        <w:t>701:</w:t>
      </w:r>
      <w:r>
        <w:rPr>
          <w:spacing w:val="-10"/>
        </w:rPr>
        <w:t xml:space="preserve"> </w:t>
      </w:r>
      <w:r>
        <w:t>General</w:t>
      </w:r>
      <w:r>
        <w:rPr>
          <w:spacing w:val="-9"/>
        </w:rPr>
        <w:t xml:space="preserve"> </w:t>
      </w:r>
      <w:r>
        <w:t>Requirements</w:t>
      </w:r>
      <w:r>
        <w:rPr>
          <w:spacing w:val="-10"/>
        </w:rPr>
        <w:t xml:space="preserve"> </w:t>
      </w:r>
      <w:r>
        <w:t>of</w:t>
      </w:r>
      <w:r>
        <w:rPr>
          <w:spacing w:val="-10"/>
        </w:rPr>
        <w:t xml:space="preserve"> </w:t>
      </w:r>
      <w:r>
        <w:t>Informed</w:t>
      </w:r>
      <w:r>
        <w:rPr>
          <w:spacing w:val="-9"/>
        </w:rPr>
        <w:t xml:space="preserve"> </w:t>
      </w:r>
      <w:r>
        <w:rPr>
          <w:spacing w:val="-2"/>
        </w:rPr>
        <w:t>Consent)</w:t>
      </w:r>
    </w:p>
    <w:p w14:paraId="70711426" w14:textId="43BDCE00" w:rsidR="003728F1" w:rsidRDefault="003B07EA">
      <w:pPr>
        <w:pStyle w:val="ListParagraph"/>
        <w:numPr>
          <w:ilvl w:val="0"/>
          <w:numId w:val="1"/>
        </w:numPr>
        <w:tabs>
          <w:tab w:val="left" w:pos="1407"/>
        </w:tabs>
        <w:spacing w:before="1" w:line="240" w:lineRule="auto"/>
        <w:ind w:left="1407" w:right="609"/>
      </w:pPr>
      <w:r>
        <w:t>Reporting</w:t>
      </w:r>
      <w:r>
        <w:rPr>
          <w:spacing w:val="-3"/>
        </w:rPr>
        <w:t xml:space="preserve"> </w:t>
      </w:r>
      <w:r>
        <w:t>to</w:t>
      </w:r>
      <w:r>
        <w:rPr>
          <w:spacing w:val="-2"/>
        </w:rPr>
        <w:t xml:space="preserve"> </w:t>
      </w:r>
      <w:r>
        <w:t>OHRP</w:t>
      </w:r>
      <w:r>
        <w:rPr>
          <w:spacing w:val="-3"/>
        </w:rPr>
        <w:t xml:space="preserve"> </w:t>
      </w:r>
      <w:r>
        <w:t>if</w:t>
      </w:r>
      <w:r>
        <w:rPr>
          <w:spacing w:val="-3"/>
        </w:rPr>
        <w:t xml:space="preserve"> </w:t>
      </w:r>
      <w:r>
        <w:t>the</w:t>
      </w:r>
      <w:r>
        <w:rPr>
          <w:spacing w:val="-4"/>
        </w:rPr>
        <w:t xml:space="preserve"> </w:t>
      </w:r>
      <w:r>
        <w:t>IRB</w:t>
      </w:r>
      <w:r>
        <w:rPr>
          <w:spacing w:val="-3"/>
        </w:rPr>
        <w:t xml:space="preserve"> </w:t>
      </w:r>
      <w:r>
        <w:t>takes</w:t>
      </w:r>
      <w:r>
        <w:rPr>
          <w:spacing w:val="-2"/>
        </w:rPr>
        <w:t xml:space="preserve"> </w:t>
      </w:r>
      <w:r>
        <w:t>any</w:t>
      </w:r>
      <w:r>
        <w:rPr>
          <w:spacing w:val="-3"/>
        </w:rPr>
        <w:t xml:space="preserve"> </w:t>
      </w:r>
      <w:r>
        <w:t>of</w:t>
      </w:r>
      <w:r>
        <w:rPr>
          <w:spacing w:val="-4"/>
        </w:rPr>
        <w:t xml:space="preserve"> </w:t>
      </w:r>
      <w:r>
        <w:t>the</w:t>
      </w:r>
      <w:r>
        <w:rPr>
          <w:spacing w:val="-4"/>
        </w:rPr>
        <w:t xml:space="preserve"> </w:t>
      </w:r>
      <w:r>
        <w:t>following</w:t>
      </w:r>
      <w:r>
        <w:rPr>
          <w:spacing w:val="-4"/>
        </w:rPr>
        <w:t xml:space="preserve"> </w:t>
      </w:r>
      <w:r>
        <w:t>actions</w:t>
      </w:r>
      <w:r>
        <w:rPr>
          <w:spacing w:val="-4"/>
        </w:rPr>
        <w:t xml:space="preserve"> </w:t>
      </w:r>
      <w:r>
        <w:t>(see</w:t>
      </w:r>
      <w:r>
        <w:rPr>
          <w:spacing w:val="-4"/>
        </w:rPr>
        <w:t xml:space="preserve"> </w:t>
      </w:r>
      <w:r>
        <w:t>SOP</w:t>
      </w:r>
      <w:r>
        <w:rPr>
          <w:spacing w:val="-2"/>
        </w:rPr>
        <w:t xml:space="preserve"> </w:t>
      </w:r>
      <w:r>
        <w:t>905:</w:t>
      </w:r>
      <w:r>
        <w:rPr>
          <w:spacing w:val="-4"/>
        </w:rPr>
        <w:t xml:space="preserve"> </w:t>
      </w:r>
      <w:r>
        <w:t>Institutional Reporting Procedures):</w:t>
      </w:r>
    </w:p>
    <w:p w14:paraId="70711427" w14:textId="77777777" w:rsidR="003728F1" w:rsidRDefault="003B07EA">
      <w:pPr>
        <w:pStyle w:val="ListParagraph"/>
        <w:numPr>
          <w:ilvl w:val="1"/>
          <w:numId w:val="1"/>
        </w:numPr>
        <w:tabs>
          <w:tab w:val="left" w:pos="2128"/>
        </w:tabs>
        <w:spacing w:before="3" w:line="235" w:lineRule="auto"/>
        <w:ind w:right="768"/>
      </w:pPr>
      <w:r>
        <w:t>Determines</w:t>
      </w:r>
      <w:r>
        <w:rPr>
          <w:spacing w:val="-5"/>
        </w:rPr>
        <w:t xml:space="preserve"> </w:t>
      </w:r>
      <w:r>
        <w:t>that</w:t>
      </w:r>
      <w:r>
        <w:rPr>
          <w:spacing w:val="-5"/>
        </w:rPr>
        <w:t xml:space="preserve"> </w:t>
      </w:r>
      <w:r>
        <w:t>an</w:t>
      </w:r>
      <w:r>
        <w:rPr>
          <w:spacing w:val="-4"/>
        </w:rPr>
        <w:t xml:space="preserve"> </w:t>
      </w:r>
      <w:r>
        <w:t>event</w:t>
      </w:r>
      <w:r>
        <w:rPr>
          <w:spacing w:val="-4"/>
        </w:rPr>
        <w:t xml:space="preserve"> </w:t>
      </w:r>
      <w:r>
        <w:t>represents</w:t>
      </w:r>
      <w:r>
        <w:rPr>
          <w:spacing w:val="-5"/>
        </w:rPr>
        <w:t xml:space="preserve"> </w:t>
      </w:r>
      <w:r>
        <w:t>an</w:t>
      </w:r>
      <w:r>
        <w:rPr>
          <w:spacing w:val="-5"/>
        </w:rPr>
        <w:t xml:space="preserve"> </w:t>
      </w:r>
      <w:r>
        <w:t>unanticipated</w:t>
      </w:r>
      <w:r>
        <w:rPr>
          <w:spacing w:val="-5"/>
        </w:rPr>
        <w:t xml:space="preserve"> </w:t>
      </w:r>
      <w:r>
        <w:t>problem</w:t>
      </w:r>
      <w:r>
        <w:rPr>
          <w:spacing w:val="-5"/>
        </w:rPr>
        <w:t xml:space="preserve"> </w:t>
      </w:r>
      <w:r>
        <w:t>involving</w:t>
      </w:r>
      <w:r>
        <w:rPr>
          <w:spacing w:val="-5"/>
        </w:rPr>
        <w:t xml:space="preserve"> </w:t>
      </w:r>
      <w:r>
        <w:t>risks</w:t>
      </w:r>
      <w:r>
        <w:rPr>
          <w:spacing w:val="-3"/>
        </w:rPr>
        <w:t xml:space="preserve"> </w:t>
      </w:r>
      <w:r>
        <w:t>to participants or others</w:t>
      </w:r>
    </w:p>
    <w:p w14:paraId="70711428" w14:textId="77777777" w:rsidR="003728F1" w:rsidRDefault="003B07EA">
      <w:pPr>
        <w:pStyle w:val="ListParagraph"/>
        <w:numPr>
          <w:ilvl w:val="1"/>
          <w:numId w:val="1"/>
        </w:numPr>
        <w:tabs>
          <w:tab w:val="left" w:pos="2127"/>
        </w:tabs>
        <w:spacing w:before="1" w:line="272" w:lineRule="exact"/>
        <w:ind w:left="2127" w:hanging="359"/>
      </w:pPr>
      <w:r>
        <w:t>Determines</w:t>
      </w:r>
      <w:r>
        <w:rPr>
          <w:spacing w:val="-10"/>
        </w:rPr>
        <w:t xml:space="preserve"> </w:t>
      </w:r>
      <w:r>
        <w:t>that</w:t>
      </w:r>
      <w:r>
        <w:rPr>
          <w:spacing w:val="-10"/>
        </w:rPr>
        <w:t xml:space="preserve"> </w:t>
      </w:r>
      <w:r>
        <w:t>non-compliance</w:t>
      </w:r>
      <w:r>
        <w:rPr>
          <w:spacing w:val="-9"/>
        </w:rPr>
        <w:t xml:space="preserve"> </w:t>
      </w:r>
      <w:r>
        <w:t>was</w:t>
      </w:r>
      <w:r>
        <w:rPr>
          <w:spacing w:val="-9"/>
        </w:rPr>
        <w:t xml:space="preserve"> </w:t>
      </w:r>
      <w:r>
        <w:t>serious</w:t>
      </w:r>
      <w:r>
        <w:rPr>
          <w:spacing w:val="-10"/>
        </w:rPr>
        <w:t xml:space="preserve"> </w:t>
      </w:r>
      <w:r>
        <w:t>or</w:t>
      </w:r>
      <w:r>
        <w:rPr>
          <w:spacing w:val="-10"/>
        </w:rPr>
        <w:t xml:space="preserve"> </w:t>
      </w:r>
      <w:r>
        <w:rPr>
          <w:spacing w:val="-2"/>
        </w:rPr>
        <w:t>continuing</w:t>
      </w:r>
    </w:p>
    <w:p w14:paraId="70711429" w14:textId="77777777" w:rsidR="003728F1" w:rsidRDefault="003B07EA">
      <w:pPr>
        <w:pStyle w:val="ListParagraph"/>
        <w:numPr>
          <w:ilvl w:val="1"/>
          <w:numId w:val="1"/>
        </w:numPr>
        <w:tabs>
          <w:tab w:val="left" w:pos="2126"/>
        </w:tabs>
        <w:spacing w:line="272" w:lineRule="exact"/>
        <w:ind w:left="2126" w:hanging="359"/>
      </w:pPr>
      <w:r>
        <w:t>Suspends</w:t>
      </w:r>
      <w:r>
        <w:rPr>
          <w:spacing w:val="-7"/>
        </w:rPr>
        <w:t xml:space="preserve"> </w:t>
      </w:r>
      <w:r>
        <w:t>or</w:t>
      </w:r>
      <w:r>
        <w:rPr>
          <w:spacing w:val="-9"/>
        </w:rPr>
        <w:t xml:space="preserve"> </w:t>
      </w:r>
      <w:r>
        <w:t>terminates</w:t>
      </w:r>
      <w:r>
        <w:rPr>
          <w:spacing w:val="-7"/>
        </w:rPr>
        <w:t xml:space="preserve"> </w:t>
      </w:r>
      <w:r>
        <w:t>approval</w:t>
      </w:r>
      <w:r>
        <w:rPr>
          <w:spacing w:val="-9"/>
        </w:rPr>
        <w:t xml:space="preserve"> </w:t>
      </w:r>
      <w:r>
        <w:t>of</w:t>
      </w:r>
      <w:r>
        <w:rPr>
          <w:spacing w:val="-8"/>
        </w:rPr>
        <w:t xml:space="preserve"> </w:t>
      </w:r>
      <w:r>
        <w:rPr>
          <w:spacing w:val="-2"/>
        </w:rPr>
        <w:t>research</w:t>
      </w:r>
    </w:p>
    <w:p w14:paraId="7071142A" w14:textId="77777777" w:rsidR="003728F1" w:rsidRDefault="003728F1">
      <w:pPr>
        <w:pStyle w:val="BodyText"/>
        <w:rPr>
          <w:sz w:val="16"/>
        </w:rPr>
      </w:pPr>
    </w:p>
    <w:p w14:paraId="7071142B" w14:textId="77777777" w:rsidR="003728F1" w:rsidRDefault="003728F1">
      <w:pPr>
        <w:pStyle w:val="BodyText"/>
        <w:rPr>
          <w:sz w:val="16"/>
        </w:rPr>
      </w:pPr>
    </w:p>
    <w:p w14:paraId="7071142C" w14:textId="77777777" w:rsidR="003728F1" w:rsidRDefault="003728F1">
      <w:pPr>
        <w:pStyle w:val="BodyText"/>
        <w:rPr>
          <w:sz w:val="16"/>
        </w:rPr>
      </w:pPr>
    </w:p>
    <w:p w14:paraId="7071142D" w14:textId="77777777" w:rsidR="003728F1" w:rsidRDefault="003728F1">
      <w:pPr>
        <w:pStyle w:val="BodyText"/>
        <w:rPr>
          <w:sz w:val="16"/>
        </w:rPr>
      </w:pPr>
    </w:p>
    <w:p w14:paraId="7071142E" w14:textId="77777777" w:rsidR="003728F1" w:rsidRDefault="003728F1">
      <w:pPr>
        <w:pStyle w:val="BodyText"/>
        <w:rPr>
          <w:sz w:val="16"/>
        </w:rPr>
      </w:pPr>
    </w:p>
    <w:p w14:paraId="7071142F" w14:textId="77777777" w:rsidR="003728F1" w:rsidRDefault="003728F1">
      <w:pPr>
        <w:pStyle w:val="BodyText"/>
        <w:rPr>
          <w:sz w:val="16"/>
        </w:rPr>
      </w:pPr>
    </w:p>
    <w:p w14:paraId="70711430" w14:textId="77777777" w:rsidR="003728F1" w:rsidRDefault="003728F1">
      <w:pPr>
        <w:pStyle w:val="BodyText"/>
        <w:rPr>
          <w:sz w:val="16"/>
        </w:rPr>
      </w:pPr>
    </w:p>
    <w:p w14:paraId="70711431" w14:textId="77777777" w:rsidR="003728F1" w:rsidRDefault="003728F1">
      <w:pPr>
        <w:pStyle w:val="BodyText"/>
        <w:rPr>
          <w:sz w:val="16"/>
        </w:rPr>
      </w:pPr>
    </w:p>
    <w:p w14:paraId="70711432" w14:textId="77777777" w:rsidR="003728F1" w:rsidRDefault="003728F1">
      <w:pPr>
        <w:pStyle w:val="BodyText"/>
        <w:rPr>
          <w:sz w:val="16"/>
        </w:rPr>
      </w:pPr>
    </w:p>
    <w:p w14:paraId="70711433" w14:textId="77777777" w:rsidR="003728F1" w:rsidRDefault="003728F1">
      <w:pPr>
        <w:pStyle w:val="BodyText"/>
        <w:rPr>
          <w:sz w:val="16"/>
        </w:rPr>
      </w:pPr>
    </w:p>
    <w:p w14:paraId="70711434" w14:textId="77777777" w:rsidR="003728F1" w:rsidRDefault="003728F1">
      <w:pPr>
        <w:pStyle w:val="BodyText"/>
        <w:rPr>
          <w:sz w:val="16"/>
        </w:rPr>
      </w:pPr>
    </w:p>
    <w:p w14:paraId="70711435" w14:textId="77777777" w:rsidR="003728F1" w:rsidRDefault="003728F1">
      <w:pPr>
        <w:pStyle w:val="BodyText"/>
        <w:rPr>
          <w:sz w:val="16"/>
        </w:rPr>
      </w:pPr>
    </w:p>
    <w:p w14:paraId="70711436" w14:textId="77777777" w:rsidR="003728F1" w:rsidRDefault="003728F1">
      <w:pPr>
        <w:pStyle w:val="BodyText"/>
        <w:rPr>
          <w:sz w:val="16"/>
        </w:rPr>
      </w:pPr>
    </w:p>
    <w:p w14:paraId="70711437" w14:textId="77777777" w:rsidR="003728F1" w:rsidRDefault="003728F1">
      <w:pPr>
        <w:pStyle w:val="BodyText"/>
        <w:rPr>
          <w:sz w:val="16"/>
        </w:rPr>
      </w:pPr>
    </w:p>
    <w:p w14:paraId="70711438" w14:textId="77777777" w:rsidR="003728F1" w:rsidRDefault="003728F1">
      <w:pPr>
        <w:pStyle w:val="BodyText"/>
        <w:rPr>
          <w:sz w:val="16"/>
        </w:rPr>
      </w:pPr>
    </w:p>
    <w:p w14:paraId="70711439" w14:textId="77777777" w:rsidR="003728F1" w:rsidRDefault="003728F1">
      <w:pPr>
        <w:pStyle w:val="BodyText"/>
        <w:rPr>
          <w:sz w:val="16"/>
        </w:rPr>
      </w:pPr>
    </w:p>
    <w:p w14:paraId="7071143A" w14:textId="77777777" w:rsidR="003728F1" w:rsidRDefault="003728F1">
      <w:pPr>
        <w:pStyle w:val="BodyText"/>
        <w:rPr>
          <w:sz w:val="16"/>
        </w:rPr>
      </w:pPr>
    </w:p>
    <w:p w14:paraId="70711448" w14:textId="331E9B9D" w:rsidR="003728F1" w:rsidRDefault="003728F1">
      <w:pPr>
        <w:pStyle w:val="BodyText"/>
        <w:spacing w:before="98"/>
        <w:rPr>
          <w:sz w:val="16"/>
        </w:rPr>
      </w:pPr>
    </w:p>
    <w:p w14:paraId="3844A037" w14:textId="55E50325" w:rsidR="003B07EA" w:rsidRDefault="003B07EA">
      <w:pPr>
        <w:pStyle w:val="BodyText"/>
        <w:spacing w:before="98"/>
        <w:rPr>
          <w:sz w:val="16"/>
        </w:rPr>
      </w:pPr>
    </w:p>
    <w:p w14:paraId="4DB683FF" w14:textId="6DF2BA81" w:rsidR="003B07EA" w:rsidRDefault="003B07EA">
      <w:pPr>
        <w:pStyle w:val="BodyText"/>
        <w:spacing w:before="98"/>
        <w:rPr>
          <w:sz w:val="16"/>
        </w:rPr>
      </w:pPr>
    </w:p>
    <w:p w14:paraId="13E9E425" w14:textId="0EE22DE5" w:rsidR="003B07EA" w:rsidRDefault="003B07EA">
      <w:pPr>
        <w:pStyle w:val="BodyText"/>
        <w:spacing w:before="98"/>
        <w:rPr>
          <w:sz w:val="16"/>
        </w:rPr>
      </w:pPr>
    </w:p>
    <w:p w14:paraId="1607647D" w14:textId="77777777" w:rsidR="003B07EA" w:rsidRDefault="003B07EA">
      <w:pPr>
        <w:pStyle w:val="BodyText"/>
        <w:spacing w:before="98"/>
        <w:rPr>
          <w:sz w:val="16"/>
        </w:rPr>
      </w:pPr>
    </w:p>
    <w:p w14:paraId="4A3E909A" w14:textId="5D3E3098" w:rsidR="003B07EA" w:rsidRDefault="003B07EA">
      <w:pPr>
        <w:pStyle w:val="BodyText"/>
        <w:spacing w:before="98"/>
        <w:rPr>
          <w:sz w:val="16"/>
        </w:rPr>
      </w:pPr>
    </w:p>
    <w:p w14:paraId="35DB3074" w14:textId="34DEA7EF" w:rsidR="003B07EA" w:rsidRDefault="003B07EA">
      <w:pPr>
        <w:pStyle w:val="BodyText"/>
        <w:spacing w:before="98"/>
        <w:rPr>
          <w:sz w:val="16"/>
        </w:rPr>
      </w:pPr>
    </w:p>
    <w:p w14:paraId="5CDD54D6" w14:textId="320C8DDA" w:rsidR="003B07EA" w:rsidRDefault="003B07EA">
      <w:pPr>
        <w:pStyle w:val="BodyText"/>
        <w:spacing w:before="98"/>
        <w:rPr>
          <w:sz w:val="16"/>
        </w:rPr>
      </w:pPr>
    </w:p>
    <w:p w14:paraId="26AAC48E" w14:textId="004345B2" w:rsidR="003B07EA" w:rsidRDefault="003B07EA">
      <w:pPr>
        <w:pStyle w:val="BodyText"/>
        <w:spacing w:before="98"/>
        <w:rPr>
          <w:sz w:val="16"/>
        </w:rPr>
      </w:pPr>
    </w:p>
    <w:p w14:paraId="2FD5636E" w14:textId="28543B6B" w:rsidR="003B07EA" w:rsidRDefault="003B07EA">
      <w:pPr>
        <w:pStyle w:val="BodyText"/>
        <w:spacing w:before="98"/>
        <w:rPr>
          <w:sz w:val="16"/>
        </w:rPr>
      </w:pPr>
    </w:p>
    <w:p w14:paraId="42785289" w14:textId="77777777" w:rsidR="003B07EA" w:rsidRDefault="003B07EA">
      <w:pPr>
        <w:pStyle w:val="BodyText"/>
        <w:spacing w:before="98"/>
        <w:rPr>
          <w:sz w:val="16"/>
        </w:rPr>
      </w:pPr>
    </w:p>
    <w:p w14:paraId="70711449" w14:textId="22D1638E" w:rsidR="003728F1" w:rsidRDefault="003B07EA">
      <w:pPr>
        <w:ind w:left="640" w:right="6086"/>
        <w:rPr>
          <w:sz w:val="16"/>
        </w:rPr>
      </w:pPr>
      <w:r>
        <w:rPr>
          <w:sz w:val="16"/>
        </w:rPr>
        <w:t>IRB</w:t>
      </w:r>
      <w:r>
        <w:rPr>
          <w:spacing w:val="-9"/>
          <w:sz w:val="16"/>
        </w:rPr>
        <w:t xml:space="preserve"> </w:t>
      </w:r>
      <w:r>
        <w:rPr>
          <w:sz w:val="16"/>
        </w:rPr>
        <w:t>SOP</w:t>
      </w:r>
      <w:r>
        <w:rPr>
          <w:spacing w:val="-8"/>
          <w:sz w:val="16"/>
        </w:rPr>
        <w:t xml:space="preserve"> </w:t>
      </w:r>
      <w:r>
        <w:rPr>
          <w:sz w:val="16"/>
        </w:rPr>
        <w:t>105:</w:t>
      </w:r>
      <w:r>
        <w:rPr>
          <w:spacing w:val="-8"/>
          <w:sz w:val="16"/>
        </w:rPr>
        <w:t xml:space="preserve"> </w:t>
      </w:r>
      <w:r>
        <w:rPr>
          <w:sz w:val="16"/>
        </w:rPr>
        <w:t>Non-Federally</w:t>
      </w:r>
      <w:r>
        <w:rPr>
          <w:spacing w:val="-9"/>
          <w:sz w:val="16"/>
        </w:rPr>
        <w:t xml:space="preserve"> </w:t>
      </w:r>
      <w:r>
        <w:rPr>
          <w:sz w:val="16"/>
        </w:rPr>
        <w:t>Funded</w:t>
      </w:r>
      <w:r>
        <w:rPr>
          <w:spacing w:val="-8"/>
          <w:sz w:val="16"/>
        </w:rPr>
        <w:t xml:space="preserve"> </w:t>
      </w:r>
      <w:r>
        <w:rPr>
          <w:sz w:val="16"/>
        </w:rPr>
        <w:t>Research</w:t>
      </w:r>
    </w:p>
    <w:p w14:paraId="0CDD5A4E" w14:textId="08B39A0E" w:rsidR="00DE5D8C" w:rsidRDefault="00DE5D8C">
      <w:pPr>
        <w:ind w:left="640" w:right="6086"/>
        <w:rPr>
          <w:sz w:val="16"/>
        </w:rPr>
      </w:pPr>
      <w:r>
        <w:rPr>
          <w:sz w:val="16"/>
        </w:rPr>
        <w:t>Version date 03-30-2024</w:t>
      </w:r>
    </w:p>
    <w:p w14:paraId="7071144A" w14:textId="77777777" w:rsidR="003728F1" w:rsidRDefault="003B07EA">
      <w:pPr>
        <w:ind w:left="560" w:right="21"/>
        <w:jc w:val="center"/>
        <w:rPr>
          <w:sz w:val="12"/>
        </w:rPr>
      </w:pPr>
      <w:r>
        <w:rPr>
          <w:sz w:val="12"/>
        </w:rPr>
        <w:t>Page</w:t>
      </w:r>
      <w:r>
        <w:rPr>
          <w:spacing w:val="-1"/>
          <w:sz w:val="12"/>
        </w:rPr>
        <w:t xml:space="preserve"> </w:t>
      </w:r>
      <w:r>
        <w:rPr>
          <w:sz w:val="12"/>
        </w:rPr>
        <w:t>1</w:t>
      </w:r>
      <w:r>
        <w:rPr>
          <w:spacing w:val="-1"/>
          <w:sz w:val="12"/>
        </w:rPr>
        <w:t xml:space="preserve"> </w:t>
      </w:r>
      <w:r>
        <w:rPr>
          <w:sz w:val="12"/>
        </w:rPr>
        <w:t>of</w:t>
      </w:r>
      <w:r>
        <w:rPr>
          <w:spacing w:val="-1"/>
          <w:sz w:val="12"/>
        </w:rPr>
        <w:t xml:space="preserve"> </w:t>
      </w:r>
      <w:r>
        <w:rPr>
          <w:spacing w:val="-10"/>
          <w:sz w:val="12"/>
        </w:rPr>
        <w:t>1</w:t>
      </w:r>
    </w:p>
    <w:sectPr w:rsidR="003728F1">
      <w:type w:val="continuous"/>
      <w:pgSz w:w="12240" w:h="15840"/>
      <w:pgMar w:top="920" w:right="13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C1074"/>
    <w:multiLevelType w:val="hybridMultilevel"/>
    <w:tmpl w:val="E0B28D60"/>
    <w:lvl w:ilvl="0" w:tplc="002253CA">
      <w:numFmt w:val="bullet"/>
      <w:lvlText w:val=""/>
      <w:lvlJc w:val="left"/>
      <w:pPr>
        <w:ind w:left="1408" w:hanging="360"/>
      </w:pPr>
      <w:rPr>
        <w:rFonts w:ascii="Symbol" w:eastAsia="Symbol" w:hAnsi="Symbol" w:cs="Symbol" w:hint="default"/>
        <w:b w:val="0"/>
        <w:bCs w:val="0"/>
        <w:i w:val="0"/>
        <w:iCs w:val="0"/>
        <w:spacing w:val="0"/>
        <w:w w:val="99"/>
        <w:sz w:val="22"/>
        <w:szCs w:val="22"/>
        <w:lang w:val="en-US" w:eastAsia="en-US" w:bidi="ar-SA"/>
      </w:rPr>
    </w:lvl>
    <w:lvl w:ilvl="1" w:tplc="CDA028C4">
      <w:numFmt w:val="bullet"/>
      <w:lvlText w:val="o"/>
      <w:lvlJc w:val="left"/>
      <w:pPr>
        <w:ind w:left="2128" w:hanging="360"/>
      </w:pPr>
      <w:rPr>
        <w:rFonts w:ascii="Courier New" w:eastAsia="Courier New" w:hAnsi="Courier New" w:cs="Courier New" w:hint="default"/>
        <w:b w:val="0"/>
        <w:bCs w:val="0"/>
        <w:i w:val="0"/>
        <w:iCs w:val="0"/>
        <w:spacing w:val="0"/>
        <w:w w:val="99"/>
        <w:sz w:val="22"/>
        <w:szCs w:val="22"/>
        <w:lang w:val="en-US" w:eastAsia="en-US" w:bidi="ar-SA"/>
      </w:rPr>
    </w:lvl>
    <w:lvl w:ilvl="2" w:tplc="5E94E1C6">
      <w:numFmt w:val="bullet"/>
      <w:lvlText w:val="•"/>
      <w:lvlJc w:val="left"/>
      <w:pPr>
        <w:ind w:left="3006" w:hanging="360"/>
      </w:pPr>
      <w:rPr>
        <w:rFonts w:hint="default"/>
        <w:lang w:val="en-US" w:eastAsia="en-US" w:bidi="ar-SA"/>
      </w:rPr>
    </w:lvl>
    <w:lvl w:ilvl="3" w:tplc="E77AEC82">
      <w:numFmt w:val="bullet"/>
      <w:lvlText w:val="•"/>
      <w:lvlJc w:val="left"/>
      <w:pPr>
        <w:ind w:left="3893" w:hanging="360"/>
      </w:pPr>
      <w:rPr>
        <w:rFonts w:hint="default"/>
        <w:lang w:val="en-US" w:eastAsia="en-US" w:bidi="ar-SA"/>
      </w:rPr>
    </w:lvl>
    <w:lvl w:ilvl="4" w:tplc="CDF6E996">
      <w:numFmt w:val="bullet"/>
      <w:lvlText w:val="•"/>
      <w:lvlJc w:val="left"/>
      <w:pPr>
        <w:ind w:left="4780" w:hanging="360"/>
      </w:pPr>
      <w:rPr>
        <w:rFonts w:hint="default"/>
        <w:lang w:val="en-US" w:eastAsia="en-US" w:bidi="ar-SA"/>
      </w:rPr>
    </w:lvl>
    <w:lvl w:ilvl="5" w:tplc="C37868D0">
      <w:numFmt w:val="bullet"/>
      <w:lvlText w:val="•"/>
      <w:lvlJc w:val="left"/>
      <w:pPr>
        <w:ind w:left="5666" w:hanging="360"/>
      </w:pPr>
      <w:rPr>
        <w:rFonts w:hint="default"/>
        <w:lang w:val="en-US" w:eastAsia="en-US" w:bidi="ar-SA"/>
      </w:rPr>
    </w:lvl>
    <w:lvl w:ilvl="6" w:tplc="70D0656E">
      <w:numFmt w:val="bullet"/>
      <w:lvlText w:val="•"/>
      <w:lvlJc w:val="left"/>
      <w:pPr>
        <w:ind w:left="6553" w:hanging="360"/>
      </w:pPr>
      <w:rPr>
        <w:rFonts w:hint="default"/>
        <w:lang w:val="en-US" w:eastAsia="en-US" w:bidi="ar-SA"/>
      </w:rPr>
    </w:lvl>
    <w:lvl w:ilvl="7" w:tplc="99D876F4">
      <w:numFmt w:val="bullet"/>
      <w:lvlText w:val="•"/>
      <w:lvlJc w:val="left"/>
      <w:pPr>
        <w:ind w:left="7440" w:hanging="360"/>
      </w:pPr>
      <w:rPr>
        <w:rFonts w:hint="default"/>
        <w:lang w:val="en-US" w:eastAsia="en-US" w:bidi="ar-SA"/>
      </w:rPr>
    </w:lvl>
    <w:lvl w:ilvl="8" w:tplc="D04ECE98">
      <w:numFmt w:val="bullet"/>
      <w:lvlText w:val="•"/>
      <w:lvlJc w:val="left"/>
      <w:pPr>
        <w:ind w:left="8326" w:hanging="360"/>
      </w:pPr>
      <w:rPr>
        <w:rFonts w:hint="default"/>
        <w:lang w:val="en-US" w:eastAsia="en-US" w:bidi="ar-SA"/>
      </w:rPr>
    </w:lvl>
  </w:abstractNum>
  <w:num w:numId="1" w16cid:durableId="41590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F1"/>
    <w:rsid w:val="003728F1"/>
    <w:rsid w:val="003B07EA"/>
    <w:rsid w:val="00CD595D"/>
    <w:rsid w:val="00DE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1417"/>
  <w15:docId w15:val="{B7AA4671-3A2B-40AB-A74E-D1E97D9D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17"/>
    </w:pPr>
    <w:rPr>
      <w:b/>
      <w:bCs/>
      <w:sz w:val="32"/>
      <w:szCs w:val="32"/>
    </w:rPr>
  </w:style>
  <w:style w:type="paragraph" w:styleId="ListParagraph">
    <w:name w:val="List Paragraph"/>
    <w:basedOn w:val="Normal"/>
    <w:uiPriority w:val="1"/>
    <w:qFormat/>
    <w:pPr>
      <w:spacing w:line="280" w:lineRule="exact"/>
      <w:ind w:left="14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EA0B1-DB76-456A-B671-8B3BA59A49A9}">
  <ds:schemaRefs>
    <ds:schemaRef ds:uri="http://www.w3.org/XML/1998/namespace"/>
    <ds:schemaRef ds:uri="http://purl.org/dc/elements/1.1/"/>
    <ds:schemaRef ds:uri="http://purl.org/dc/dcmitype/"/>
    <ds:schemaRef ds:uri="4453b6c3-2045-4d26-88bc-30339f4f6f92"/>
    <ds:schemaRef ds:uri="http://schemas.microsoft.com/office/2006/documentManagement/types"/>
    <ds:schemaRef ds:uri="http://schemas.microsoft.com/office/infopath/2007/PartnerControls"/>
    <ds:schemaRef ds:uri="http://purl.org/dc/terms/"/>
    <ds:schemaRef ds:uri="b7231b89-4636-4e87-bf18-5864c59853ef"/>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AEDFBF6-CB6A-4CA1-B04D-31A9214B6086}">
  <ds:schemaRefs>
    <ds:schemaRef ds:uri="http://schemas.microsoft.com/sharepoint/v3/contenttype/forms"/>
  </ds:schemaRefs>
</ds:datastoreItem>
</file>

<file path=customXml/itemProps3.xml><?xml version="1.0" encoding="utf-8"?>
<ds:datastoreItem xmlns:ds="http://schemas.openxmlformats.org/officeDocument/2006/customXml" ds:itemID="{0B2163A8-6645-4564-B581-4C897813A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dc:description/>
  <cp:lastModifiedBy>Lin-DeShetler, Denise</cp:lastModifiedBy>
  <cp:revision>3</cp:revision>
  <dcterms:created xsi:type="dcterms:W3CDTF">2024-02-12T01:16:00Z</dcterms:created>
  <dcterms:modified xsi:type="dcterms:W3CDTF">2024-04-08T22:47:00Z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Acrobat PDFMaker 19 for Word</vt:lpwstr>
  </property>
  <property fmtid="{D5CDD505-2E9C-101B-9397-08002B2CF9AE}" pid="4" name="LastSaved">
    <vt:filetime>2024-02-12T00:00:00Z</vt:filetime>
  </property>
  <property fmtid="{D5CDD505-2E9C-101B-9397-08002B2CF9AE}" pid="5" name="Producer">
    <vt:lpwstr>Adobe PDF Library 19.12.68</vt:lpwstr>
  </property>
  <property fmtid="{D5CDD505-2E9C-101B-9397-08002B2CF9AE}" pid="6" name="SourceModified">
    <vt:lpwstr>D:20190820172043</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2024-04-08T22:47:35Z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fe03d0ea-760f-4d72-8da1-c5c367d0b2c7</vt:lpwstr>
  </property>
  <property fmtid="{D5CDD505-2E9C-101B-9397-08002B2CF9AE}" pid="14" name="MSIP_Label_bfe2c8f9-1977-4483-bc2a-a0132c8c75ea_ContentBits">
    <vt:lpwstr>0</vt:lpwstr>
  </property>
</Properties>
</file>