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6787" w14:textId="77777777" w:rsidR="00631004" w:rsidRDefault="00631004">
      <w:pPr>
        <w:pStyle w:val="BodyText"/>
        <w:spacing w:before="58"/>
        <w:rPr>
          <w:rFonts w:ascii="Times New Roman"/>
          <w:sz w:val="20"/>
        </w:rPr>
      </w:pPr>
    </w:p>
    <w:p w14:paraId="58DF6788" w14:textId="77777777" w:rsidR="00631004" w:rsidRDefault="00CE11BE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DF67C3" wp14:editId="58DF67C4">
                <wp:extent cx="5943600" cy="401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F67CF" w14:textId="77777777" w:rsidR="00631004" w:rsidRDefault="00CE11BE">
                              <w:pPr>
                                <w:spacing w:before="120"/>
                                <w:ind w:left="102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104: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IRB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SIGNATORY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F67C3" id="Group 5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">
                <v:shape id="Graphic 6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DF67CF" w14:textId="77777777" w:rsidR="00631004" w:rsidRDefault="00CE11BE">
                        <w:pPr>
                          <w:spacing w:before="120"/>
                          <w:ind w:left="102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104: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IRB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AUTHORITY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SIGNATORY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AUTHORITY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DF6789" w14:textId="77777777" w:rsidR="00631004" w:rsidRDefault="00CE11BE">
      <w:pPr>
        <w:pStyle w:val="Heading1"/>
        <w:spacing w:before="230" w:line="268" w:lineRule="exact"/>
        <w:ind w:left="120"/>
      </w:pPr>
      <w:r>
        <w:rPr>
          <w:spacing w:val="-2"/>
        </w:rPr>
        <w:t>PURPOSE</w:t>
      </w:r>
    </w:p>
    <w:p w14:paraId="58DF678A" w14:textId="58183DDE" w:rsidR="00631004" w:rsidRDefault="00CE11BE">
      <w:pPr>
        <w:pStyle w:val="BodyText"/>
        <w:ind w:left="119" w:right="157"/>
      </w:pPr>
      <w:r>
        <w:t xml:space="preserve">This SOP outlines the specific authority granted to the </w:t>
      </w:r>
      <w:r w:rsidR="00CB5192">
        <w:t>Queen’s Medical Center</w:t>
      </w:r>
      <w:r>
        <w:t xml:space="preserve"> </w:t>
      </w:r>
      <w:r w:rsidR="00CB5192">
        <w:t xml:space="preserve">Research Institutional Review Committee </w:t>
      </w:r>
      <w:r>
        <w:t>(</w:t>
      </w:r>
      <w:r w:rsidR="00CB5192">
        <w:t>RIRC</w:t>
      </w:r>
      <w:r>
        <w:t>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approve,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Human Research Protection Program at the </w:t>
      </w:r>
      <w:r w:rsidR="00CB5192">
        <w:t>Queen’s Medical Center</w:t>
      </w:r>
      <w:r>
        <w:t>.</w:t>
      </w:r>
    </w:p>
    <w:p w14:paraId="58DF678B" w14:textId="77777777" w:rsidR="00631004" w:rsidRDefault="00631004">
      <w:pPr>
        <w:pStyle w:val="BodyText"/>
        <w:spacing w:before="1"/>
      </w:pPr>
    </w:p>
    <w:p w14:paraId="58DF678C" w14:textId="77777777" w:rsidR="00631004" w:rsidRDefault="00CE11BE">
      <w:pPr>
        <w:pStyle w:val="Heading1"/>
        <w:spacing w:line="268" w:lineRule="exact"/>
      </w:pPr>
      <w:r>
        <w:rPr>
          <w:spacing w:val="-2"/>
        </w:rPr>
        <w:t>SCOPE</w:t>
      </w:r>
    </w:p>
    <w:p w14:paraId="58DF678D" w14:textId="3A072367" w:rsidR="00631004" w:rsidRDefault="00CE11BE">
      <w:pPr>
        <w:pStyle w:val="BodyText"/>
        <w:spacing w:line="268" w:lineRule="exact"/>
        <w:ind w:left="119"/>
      </w:pPr>
      <w:r>
        <w:t>This</w:t>
      </w:r>
      <w:r>
        <w:rPr>
          <w:spacing w:val="-7"/>
        </w:rPr>
        <w:t xml:space="preserve"> </w:t>
      </w:r>
      <w:r>
        <w:t>SOP</w:t>
      </w:r>
      <w:r>
        <w:rPr>
          <w:spacing w:val="-5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CB5192">
        <w:t>Queen’s Medical Center</w:t>
      </w:r>
      <w:r>
        <w:rPr>
          <w:spacing w:val="-7"/>
        </w:rPr>
        <w:t xml:space="preserve"> </w:t>
      </w:r>
      <w:r w:rsidR="00CB5192">
        <w:t>RIRC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CB5192">
        <w:rPr>
          <w:spacing w:val="-4"/>
        </w:rPr>
        <w:t>RIRC</w:t>
      </w:r>
      <w:r>
        <w:rPr>
          <w:spacing w:val="-4"/>
        </w:rPr>
        <w:t>.</w:t>
      </w:r>
    </w:p>
    <w:p w14:paraId="58DF678E" w14:textId="77777777" w:rsidR="00631004" w:rsidRDefault="00631004">
      <w:pPr>
        <w:pStyle w:val="BodyText"/>
      </w:pPr>
    </w:p>
    <w:p w14:paraId="58DF678F" w14:textId="77777777" w:rsidR="00631004" w:rsidRDefault="00CE11BE">
      <w:pPr>
        <w:pStyle w:val="Heading1"/>
      </w:pPr>
      <w:r>
        <w:rPr>
          <w:spacing w:val="-2"/>
        </w:rPr>
        <w:t>DEFINITIONS</w:t>
      </w:r>
    </w:p>
    <w:p w14:paraId="58DF6790" w14:textId="39D53063" w:rsidR="00631004" w:rsidRDefault="00CE11BE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</w:pPr>
      <w:r>
        <w:rPr>
          <w:b/>
        </w:rPr>
        <w:t xml:space="preserve">Affiliated institutions </w:t>
      </w:r>
      <w:r>
        <w:t xml:space="preserve">(i.e., affiliates) have a Memorandum of Understanding (MOU) with the </w:t>
      </w:r>
      <w:r w:rsidR="00CB5192">
        <w:t>Queen’s Medical Center</w:t>
      </w:r>
      <w:r>
        <w:rPr>
          <w:spacing w:val="-3"/>
        </w:rPr>
        <w:t xml:space="preserve"> </w:t>
      </w:r>
      <w:r>
        <w:t>designating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B5192">
        <w:t>Queen’s Medical Center</w:t>
      </w:r>
      <w:r>
        <w:rPr>
          <w:spacing w:val="-3"/>
        </w:rPr>
        <w:t xml:space="preserve"> </w:t>
      </w:r>
      <w:r w:rsidR="00CB5192">
        <w:t>RIRC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B5192">
        <w:t>RIRC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B5192">
        <w:t>Queen’s Medical Center</w:t>
      </w:r>
      <w:r>
        <w:t xml:space="preserve"> </w:t>
      </w:r>
      <w:r w:rsidR="00CB5192">
        <w:t>RIRC</w:t>
      </w:r>
      <w:r>
        <w:t xml:space="preserve"> has oversight of research conducted at affiliated institutions.</w:t>
      </w:r>
    </w:p>
    <w:p w14:paraId="58DF6791" w14:textId="77777777" w:rsidR="00631004" w:rsidRDefault="00CE11BE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ind w:left="840" w:right="1032" w:hanging="361"/>
      </w:pPr>
      <w:r>
        <w:t>The</w:t>
      </w:r>
      <w:r>
        <w:rPr>
          <w:spacing w:val="-4"/>
        </w:rPr>
        <w:t xml:space="preserve"> </w:t>
      </w:r>
      <w:proofErr w:type="spellStart"/>
      <w:r>
        <w:rPr>
          <w:b/>
        </w:rPr>
        <w:t>Federalwide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Assurance</w:t>
      </w:r>
      <w:r>
        <w:rPr>
          <w:b/>
          <w:spacing w:val="-4"/>
        </w:rPr>
        <w:t xml:space="preserve"> </w:t>
      </w:r>
      <w:r>
        <w:rPr>
          <w:b/>
        </w:rPr>
        <w:t>(FWA)</w:t>
      </w:r>
      <w:r>
        <w:rPr>
          <w:b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federal regulations for the protection of human subjects in research.</w:t>
      </w:r>
    </w:p>
    <w:p w14:paraId="58DF6792" w14:textId="2B3B0834" w:rsidR="00631004" w:rsidRDefault="00CE11BE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ind w:right="339"/>
      </w:pPr>
      <w:r>
        <w:t>The</w:t>
      </w:r>
      <w:r>
        <w:rPr>
          <w:spacing w:val="-4"/>
        </w:rPr>
        <w:t xml:space="preserve"> </w:t>
      </w:r>
      <w:r>
        <w:rPr>
          <w:b/>
        </w:rPr>
        <w:t>Institutional</w:t>
      </w:r>
      <w:r>
        <w:rPr>
          <w:b/>
          <w:spacing w:val="-4"/>
        </w:rPr>
        <w:t xml:space="preserve"> </w:t>
      </w:r>
      <w:r>
        <w:rPr>
          <w:b/>
        </w:rPr>
        <w:t>Official</w:t>
      </w:r>
      <w:r>
        <w:rPr>
          <w:b/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Human Research Protection Program of which the </w:t>
      </w:r>
      <w:r w:rsidR="00CB5192">
        <w:t>RIRC</w:t>
      </w:r>
      <w:r>
        <w:t xml:space="preserve"> is a component.</w:t>
      </w:r>
    </w:p>
    <w:p w14:paraId="58DF6793" w14:textId="77777777" w:rsidR="00631004" w:rsidRDefault="00631004">
      <w:pPr>
        <w:pStyle w:val="BodyText"/>
        <w:spacing w:before="120"/>
      </w:pPr>
    </w:p>
    <w:p w14:paraId="58DF6794" w14:textId="352F2667" w:rsidR="00631004" w:rsidRDefault="00CB5192">
      <w:pPr>
        <w:pStyle w:val="Heading1"/>
      </w:pPr>
      <w:r>
        <w:rPr>
          <w:spacing w:val="-2"/>
        </w:rPr>
        <w:t>BACKGROUND</w:t>
      </w:r>
    </w:p>
    <w:p w14:paraId="58DF6795" w14:textId="5C2A32B0" w:rsidR="00631004" w:rsidRDefault="00CE11BE">
      <w:pPr>
        <w:pStyle w:val="BodyText"/>
        <w:ind w:left="119" w:right="157"/>
      </w:pPr>
      <w:r>
        <w:t xml:space="preserve">The </w:t>
      </w:r>
      <w:r w:rsidR="00CB5192">
        <w:t xml:space="preserve">Senior </w:t>
      </w:r>
      <w:r>
        <w:t xml:space="preserve">Vice President </w:t>
      </w:r>
      <w:r w:rsidR="00CB5192">
        <w:t>and Chief Quality Officer</w:t>
      </w:r>
      <w:r>
        <w:t xml:space="preserve"> </w:t>
      </w:r>
      <w:r w:rsidR="00CB5192">
        <w:t>serves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B5192">
        <w:t>Queen’s Medical Center</w:t>
      </w:r>
      <w:r>
        <w:t>’s</w:t>
      </w:r>
      <w:r>
        <w:rPr>
          <w:spacing w:val="-2"/>
        </w:rPr>
        <w:t xml:space="preserve"> </w:t>
      </w:r>
      <w:proofErr w:type="spellStart"/>
      <w:r>
        <w:t>Federalwide</w:t>
      </w:r>
      <w:proofErr w:type="spellEnd"/>
      <w:r>
        <w:rPr>
          <w:spacing w:val="-2"/>
        </w:rPr>
        <w:t xml:space="preserve"> </w:t>
      </w:r>
      <w:r>
        <w:t xml:space="preserve">Assurance with the Office of Human Research Protection (OHRP) which also serves as the Food and Drug Administration (FDA) registration for </w:t>
      </w:r>
      <w:r w:rsidR="00CB5192">
        <w:t>RIRC</w:t>
      </w:r>
      <w:r>
        <w:t>s.</w:t>
      </w:r>
    </w:p>
    <w:p w14:paraId="58DF6796" w14:textId="77777777" w:rsidR="00631004" w:rsidRDefault="00631004">
      <w:pPr>
        <w:pStyle w:val="BodyText"/>
      </w:pPr>
    </w:p>
    <w:p w14:paraId="58DF6797" w14:textId="34EF1D72" w:rsidR="00631004" w:rsidRDefault="00CB5192">
      <w:pPr>
        <w:pStyle w:val="BodyText"/>
        <w:ind w:left="119" w:right="157"/>
      </w:pPr>
      <w:r>
        <w:t>The Institutional Official</w:t>
      </w:r>
      <w:r w:rsidR="00CE11BE">
        <w:t xml:space="preserve"> grants the </w:t>
      </w:r>
      <w:r>
        <w:t>Queen’s Medical Center</w:t>
      </w:r>
      <w:r w:rsidR="00CE11BE">
        <w:rPr>
          <w:spacing w:val="-3"/>
        </w:rPr>
        <w:t xml:space="preserve"> </w:t>
      </w:r>
      <w:r>
        <w:t>RIRC</w:t>
      </w:r>
      <w:r w:rsidR="00CE11BE">
        <w:rPr>
          <w:spacing w:val="-2"/>
        </w:rPr>
        <w:t xml:space="preserve"> </w:t>
      </w:r>
      <w:r w:rsidR="00CE11BE">
        <w:t>authority</w:t>
      </w:r>
      <w:r w:rsidR="00CE11BE">
        <w:rPr>
          <w:spacing w:val="-4"/>
        </w:rPr>
        <w:t xml:space="preserve"> </w:t>
      </w:r>
      <w:r w:rsidR="00CE11BE">
        <w:t>to</w:t>
      </w:r>
      <w:r w:rsidR="00CE11BE">
        <w:rPr>
          <w:spacing w:val="-3"/>
        </w:rPr>
        <w:t xml:space="preserve"> </w:t>
      </w:r>
      <w:r w:rsidR="00CE11BE">
        <w:t>approve</w:t>
      </w:r>
      <w:r w:rsidR="00CE11BE">
        <w:rPr>
          <w:spacing w:val="-4"/>
        </w:rPr>
        <w:t xml:space="preserve"> </w:t>
      </w:r>
      <w:r w:rsidR="00CE11BE">
        <w:t>research</w:t>
      </w:r>
      <w:r w:rsidR="00CE11BE">
        <w:rPr>
          <w:spacing w:val="-3"/>
        </w:rPr>
        <w:t xml:space="preserve"> </w:t>
      </w:r>
      <w:r w:rsidR="00CE11BE">
        <w:t>activity,</w:t>
      </w:r>
      <w:r w:rsidR="00CE11BE">
        <w:rPr>
          <w:spacing w:val="-4"/>
        </w:rPr>
        <w:t xml:space="preserve"> </w:t>
      </w:r>
      <w:r w:rsidR="00CE11BE">
        <w:t>specify</w:t>
      </w:r>
      <w:r w:rsidR="00CE11BE">
        <w:rPr>
          <w:spacing w:val="-4"/>
        </w:rPr>
        <w:t xml:space="preserve"> </w:t>
      </w:r>
      <w:r w:rsidR="00CE11BE">
        <w:t>modifications</w:t>
      </w:r>
      <w:r w:rsidR="00CE11BE">
        <w:rPr>
          <w:spacing w:val="-4"/>
        </w:rPr>
        <w:t xml:space="preserve"> </w:t>
      </w:r>
      <w:r w:rsidR="00CE11BE">
        <w:t>required</w:t>
      </w:r>
      <w:r w:rsidR="00CE11BE">
        <w:rPr>
          <w:spacing w:val="-2"/>
        </w:rPr>
        <w:t xml:space="preserve"> </w:t>
      </w:r>
      <w:r w:rsidR="00CE11BE">
        <w:t>to</w:t>
      </w:r>
      <w:r w:rsidR="00CE11BE">
        <w:rPr>
          <w:spacing w:val="-3"/>
        </w:rPr>
        <w:t xml:space="preserve"> </w:t>
      </w:r>
      <w:r w:rsidR="00CE11BE">
        <w:t>secure</w:t>
      </w:r>
      <w:r w:rsidR="00CE11BE">
        <w:rPr>
          <w:spacing w:val="-3"/>
        </w:rPr>
        <w:t xml:space="preserve"> </w:t>
      </w:r>
      <w:r>
        <w:t>RIRC</w:t>
      </w:r>
      <w:r w:rsidR="00CE11BE">
        <w:rPr>
          <w:spacing w:val="-2"/>
        </w:rPr>
        <w:t xml:space="preserve"> </w:t>
      </w:r>
      <w:r w:rsidR="00CE11BE">
        <w:t>approval</w:t>
      </w:r>
      <w:r w:rsidR="00CE11BE">
        <w:rPr>
          <w:spacing w:val="-4"/>
        </w:rPr>
        <w:t xml:space="preserve"> </w:t>
      </w:r>
      <w:r w:rsidR="00CE11BE">
        <w:t xml:space="preserve">of the research activity, or disapprove any research activity overseen and conducted by the </w:t>
      </w:r>
      <w:r>
        <w:t>Queen’s Medical Center</w:t>
      </w:r>
      <w:r w:rsidR="00CE11BE">
        <w:t xml:space="preserve"> and its affiliates. The </w:t>
      </w:r>
      <w:r>
        <w:t>Queen’s Medical Center</w:t>
      </w:r>
      <w:r w:rsidR="00CE11BE">
        <w:t xml:space="preserve"> </w:t>
      </w:r>
      <w:r>
        <w:t>RIRC</w:t>
      </w:r>
      <w:r w:rsidR="00CE11BE">
        <w:t xml:space="preserve"> may suspend or terminate approval of research that is not</w:t>
      </w:r>
      <w:r w:rsidR="00CE11BE">
        <w:rPr>
          <w:spacing w:val="-1"/>
        </w:rPr>
        <w:t xml:space="preserve"> </w:t>
      </w:r>
      <w:r w:rsidR="00CE11BE">
        <w:t>being conducted in</w:t>
      </w:r>
      <w:r w:rsidR="00CE11BE">
        <w:rPr>
          <w:spacing w:val="-1"/>
        </w:rPr>
        <w:t xml:space="preserve"> </w:t>
      </w:r>
      <w:r w:rsidR="00CE11BE">
        <w:t>accordance</w:t>
      </w:r>
      <w:r w:rsidR="00CE11BE">
        <w:rPr>
          <w:spacing w:val="-1"/>
        </w:rPr>
        <w:t xml:space="preserve"> </w:t>
      </w:r>
      <w:r w:rsidR="00CE11BE">
        <w:t xml:space="preserve">with the </w:t>
      </w:r>
      <w:r>
        <w:t>RIRC</w:t>
      </w:r>
      <w:r w:rsidR="00CE11BE">
        <w:t>’s</w:t>
      </w:r>
      <w:r w:rsidR="00CE11BE">
        <w:rPr>
          <w:spacing w:val="-1"/>
        </w:rPr>
        <w:t xml:space="preserve"> </w:t>
      </w:r>
      <w:r w:rsidR="00CE11BE">
        <w:t>policies,</w:t>
      </w:r>
      <w:r w:rsidR="00CE11BE">
        <w:rPr>
          <w:spacing w:val="-1"/>
        </w:rPr>
        <w:t xml:space="preserve"> </w:t>
      </w:r>
      <w:r w:rsidR="00CE11BE">
        <w:t>is</w:t>
      </w:r>
      <w:r w:rsidR="00CE11BE">
        <w:rPr>
          <w:spacing w:val="-1"/>
        </w:rPr>
        <w:t xml:space="preserve"> </w:t>
      </w:r>
      <w:r w:rsidR="00CE11BE">
        <w:t>not in compliance with</w:t>
      </w:r>
      <w:r w:rsidR="00CE11BE">
        <w:rPr>
          <w:spacing w:val="-1"/>
        </w:rPr>
        <w:t xml:space="preserve"> </w:t>
      </w:r>
      <w:r w:rsidR="00CE11BE">
        <w:t>federal</w:t>
      </w:r>
      <w:r w:rsidR="00CE11BE">
        <w:rPr>
          <w:spacing w:val="-1"/>
        </w:rPr>
        <w:t xml:space="preserve"> </w:t>
      </w:r>
      <w:r w:rsidR="00CE11BE">
        <w:t xml:space="preserve">regulations, or that is associated with unexpected, serious harm to participants. The </w:t>
      </w:r>
      <w:r>
        <w:t>Queen’s Medical Center</w:t>
      </w:r>
      <w:r w:rsidR="00CE11BE">
        <w:t xml:space="preserve"> </w:t>
      </w:r>
      <w:r>
        <w:t>RIRC</w:t>
      </w:r>
      <w:r w:rsidR="00CE11BE">
        <w:t xml:space="preserve"> also has the authority to observe or have a third party observe the consent process, and the conduct of the </w:t>
      </w:r>
      <w:r w:rsidR="00CE11BE">
        <w:rPr>
          <w:spacing w:val="-2"/>
        </w:rPr>
        <w:t>research.</w:t>
      </w:r>
    </w:p>
    <w:p w14:paraId="58DF6798" w14:textId="77777777" w:rsidR="00631004" w:rsidRDefault="00631004">
      <w:pPr>
        <w:pStyle w:val="BodyText"/>
      </w:pPr>
    </w:p>
    <w:p w14:paraId="58DF6799" w14:textId="613CC8B0" w:rsidR="00631004" w:rsidRDefault="00CE11BE">
      <w:pPr>
        <w:pStyle w:val="BodyText"/>
        <w:ind w:left="119" w:right="403"/>
        <w:jc w:val="both"/>
      </w:pPr>
      <w:r>
        <w:t xml:space="preserve">Research that has been approved by the </w:t>
      </w:r>
      <w:r w:rsidR="00CB5192">
        <w:t>Queen’s Medical Center</w:t>
      </w:r>
      <w:r>
        <w:t xml:space="preserve"> </w:t>
      </w:r>
      <w:r w:rsidR="00CB5192">
        <w:t>RIRC</w:t>
      </w:r>
      <w:r>
        <w:t xml:space="preserve"> may be subject to further review and approval or disapproval by officials of the </w:t>
      </w:r>
      <w:r w:rsidR="00CB5192">
        <w:t>Queen’s Medical Center</w:t>
      </w:r>
      <w:r>
        <w:t xml:space="preserve">, as appropriate. However, </w:t>
      </w:r>
      <w:r w:rsidR="00CB5192">
        <w:t>Queen’s Medical Center</w:t>
      </w:r>
      <w:r>
        <w:rPr>
          <w:spacing w:val="-2"/>
        </w:rPr>
        <w:t xml:space="preserve"> </w:t>
      </w:r>
      <w:r>
        <w:t>officials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 w:rsidR="00CB5192">
        <w:t>Queen’s Medical Center</w:t>
      </w:r>
      <w:r>
        <w:rPr>
          <w:spacing w:val="-2"/>
        </w:rPr>
        <w:t xml:space="preserve"> </w:t>
      </w:r>
      <w:r w:rsidR="00CB5192">
        <w:t>RIRC</w:t>
      </w:r>
      <w:r>
        <w:t>.</w:t>
      </w:r>
    </w:p>
    <w:p w14:paraId="52C5F591" w14:textId="77777777" w:rsidR="00CB5192" w:rsidRDefault="00CB5192">
      <w:pPr>
        <w:pStyle w:val="BodyText"/>
        <w:spacing w:before="45"/>
        <w:ind w:left="120"/>
      </w:pPr>
    </w:p>
    <w:p w14:paraId="58DF67A0" w14:textId="16AFFC7F" w:rsidR="00631004" w:rsidRDefault="00CE11BE">
      <w:pPr>
        <w:pStyle w:val="BodyText"/>
        <w:spacing w:before="45"/>
        <w:ind w:left="120"/>
      </w:pPr>
      <w:r>
        <w:t>The</w:t>
      </w:r>
      <w:r>
        <w:rPr>
          <w:spacing w:val="-3"/>
        </w:rPr>
        <w:t xml:space="preserve"> </w:t>
      </w:r>
      <w:r w:rsidR="00CB5192">
        <w:t>RIRC</w:t>
      </w:r>
      <w:r>
        <w:rPr>
          <w:spacing w:val="-3"/>
        </w:rPr>
        <w:t xml:space="preserve"> </w:t>
      </w:r>
      <w:r>
        <w:t xml:space="preserve">Chair </w:t>
      </w:r>
      <w:r w:rsidR="002C0FED"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connection with the review and approval of research projects involving the </w:t>
      </w:r>
      <w:proofErr w:type="gramStart"/>
      <w:r>
        <w:t>humans</w:t>
      </w:r>
      <w:proofErr w:type="gramEnd"/>
      <w:r>
        <w:t xml:space="preserve"> subjects, which have been reviewed and approved pursuant to </w:t>
      </w:r>
      <w:r w:rsidR="00CB5192">
        <w:t>Queen’s Medical Center</w:t>
      </w:r>
      <w:r>
        <w:t xml:space="preserve"> </w:t>
      </w:r>
      <w:r w:rsidR="00CB5192">
        <w:t>RIRC</w:t>
      </w:r>
      <w:r>
        <w:t xml:space="preserve"> policies and procedures. The </w:t>
      </w:r>
      <w:r w:rsidR="00CB5192">
        <w:t>RIRC</w:t>
      </w:r>
      <w:r>
        <w:t xml:space="preserve"> Chair may designate signatory authority to qualified </w:t>
      </w:r>
      <w:r w:rsidR="00CB5192">
        <w:t>RIRC</w:t>
      </w:r>
      <w:r>
        <w:t xml:space="preserve"> members and </w:t>
      </w:r>
      <w:r w:rsidR="00CB5192">
        <w:t>R</w:t>
      </w:r>
      <w:r w:rsidR="002C0FED">
        <w:t>RO</w:t>
      </w:r>
      <w:r>
        <w:t xml:space="preserve"> staff members, as appropriate. </w:t>
      </w:r>
      <w:r w:rsidR="002C0FED">
        <w:t xml:space="preserve">The </w:t>
      </w:r>
      <w:r w:rsidR="0032692D">
        <w:t>RRO Administrator</w:t>
      </w:r>
      <w:r w:rsidR="002C0FED">
        <w:t xml:space="preserve"> or designee is authorized to sign documents in connection with the review and approval of projects deemed not human </w:t>
      </w:r>
      <w:r w:rsidR="002C0FED">
        <w:lastRenderedPageBreak/>
        <w:t xml:space="preserve">subjects research as defined under 45 CRF 46.  </w:t>
      </w:r>
      <w:r>
        <w:t>In all cases, individuals must sign their own name and indicate their title under their signature.</w:t>
      </w:r>
    </w:p>
    <w:p w14:paraId="58DF67A1" w14:textId="77777777" w:rsidR="00631004" w:rsidRDefault="00631004">
      <w:pPr>
        <w:pStyle w:val="BodyText"/>
      </w:pPr>
    </w:p>
    <w:p w14:paraId="58DF67A2" w14:textId="787098A6" w:rsidR="00631004" w:rsidRDefault="00CE11BE">
      <w:pPr>
        <w:pStyle w:val="BodyText"/>
        <w:ind w:left="119" w:right="132"/>
      </w:pPr>
      <w:r>
        <w:t>Electronic signatures used in Queen’s Medical Center’s authorized systems</w:t>
      </w:r>
      <w:r w:rsidRPr="00CE11BE">
        <w:t xml:space="preserve"> </w:t>
      </w:r>
      <w:r>
        <w:t xml:space="preserve">are considered valid. Individuals may electronically approve items using their secure logins. </w:t>
      </w:r>
    </w:p>
    <w:p w14:paraId="58DF67A3" w14:textId="77777777" w:rsidR="00631004" w:rsidRDefault="00631004">
      <w:pPr>
        <w:pStyle w:val="BodyText"/>
        <w:spacing w:before="1"/>
      </w:pPr>
    </w:p>
    <w:p w14:paraId="58DF67A4" w14:textId="78766249" w:rsidR="00631004" w:rsidRDefault="00CE11BE">
      <w:pPr>
        <w:pStyle w:val="BodyText"/>
        <w:ind w:left="120" w:right="157"/>
      </w:pPr>
      <w:r>
        <w:t xml:space="preserve">Any action, letters, memos, or emails between the </w:t>
      </w:r>
      <w:r w:rsidR="00CB5192">
        <w:t>RIRC</w:t>
      </w:r>
      <w:r>
        <w:t xml:space="preserve">, and/or members of the faculty or staff of the </w:t>
      </w:r>
      <w:r w:rsidR="00CB5192">
        <w:t>Queen’s Medical Center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protocols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B5192">
        <w:t>RIRC</w:t>
      </w:r>
      <w:r>
        <w:rPr>
          <w:spacing w:val="-2"/>
        </w:rPr>
        <w:t xml:space="preserve"> </w:t>
      </w:r>
      <w:r>
        <w:t xml:space="preserve">or </w:t>
      </w:r>
      <w:r w:rsidR="00CB5192">
        <w:t>R</w:t>
      </w:r>
      <w:r w:rsidR="00610741">
        <w:t>RO</w:t>
      </w:r>
      <w:r>
        <w:t xml:space="preserve"> staff may be issued or signed by designated </w:t>
      </w:r>
      <w:r w:rsidR="00CB5192">
        <w:t>RIRC</w:t>
      </w:r>
      <w:r>
        <w:t xml:space="preserve"> staff members.</w:t>
      </w:r>
    </w:p>
    <w:p w14:paraId="58DF67A5" w14:textId="77777777" w:rsidR="00631004" w:rsidRDefault="00631004">
      <w:pPr>
        <w:pStyle w:val="BodyText"/>
      </w:pPr>
    </w:p>
    <w:p w14:paraId="58DF67A6" w14:textId="169FF15F" w:rsidR="00631004" w:rsidRDefault="00CE11BE">
      <w:pPr>
        <w:pStyle w:val="BodyText"/>
        <w:ind w:left="120" w:right="204"/>
        <w:jc w:val="both"/>
      </w:pPr>
      <w:r>
        <w:t>Any</w:t>
      </w:r>
      <w:r>
        <w:rPr>
          <w:spacing w:val="-3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memos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government,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(whether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or public)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B5192">
        <w:t>Queen’s Medical Center</w:t>
      </w:r>
      <w:r>
        <w:rPr>
          <w:spacing w:val="-3"/>
        </w:rPr>
        <w:t xml:space="preserve"> </w:t>
      </w:r>
      <w:r w:rsidR="00CB5192">
        <w:t>RIRC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Official,</w:t>
      </w:r>
      <w:r>
        <w:rPr>
          <w:spacing w:val="-3"/>
        </w:rPr>
        <w:t xml:space="preserve"> </w:t>
      </w:r>
      <w:r w:rsidR="0032692D">
        <w:t>RRO Administrator</w:t>
      </w:r>
      <w:r>
        <w:t xml:space="preserve">, </w:t>
      </w:r>
      <w:r w:rsidR="00CB5192">
        <w:t>RIRC</w:t>
      </w:r>
      <w:r>
        <w:t xml:space="preserve"> Chair or designee. Letters or memos may be signed with an electronic signature.</w:t>
      </w:r>
    </w:p>
    <w:p w14:paraId="58DF67A8" w14:textId="77777777" w:rsidR="00631004" w:rsidRDefault="00631004">
      <w:pPr>
        <w:pStyle w:val="BodyText"/>
        <w:rPr>
          <w:sz w:val="16"/>
        </w:rPr>
      </w:pPr>
    </w:p>
    <w:p w14:paraId="58DF67A9" w14:textId="77777777" w:rsidR="00631004" w:rsidRDefault="00631004">
      <w:pPr>
        <w:pStyle w:val="BodyText"/>
        <w:rPr>
          <w:sz w:val="16"/>
        </w:rPr>
      </w:pPr>
    </w:p>
    <w:p w14:paraId="58DF67AA" w14:textId="77777777" w:rsidR="00631004" w:rsidRDefault="00631004">
      <w:pPr>
        <w:pStyle w:val="BodyText"/>
        <w:rPr>
          <w:sz w:val="16"/>
        </w:rPr>
      </w:pPr>
    </w:p>
    <w:p w14:paraId="58DF67AB" w14:textId="77777777" w:rsidR="00631004" w:rsidRDefault="00631004">
      <w:pPr>
        <w:pStyle w:val="BodyText"/>
        <w:rPr>
          <w:sz w:val="16"/>
        </w:rPr>
      </w:pPr>
    </w:p>
    <w:p w14:paraId="58DF67AC" w14:textId="77777777" w:rsidR="00631004" w:rsidRDefault="00631004">
      <w:pPr>
        <w:pStyle w:val="BodyText"/>
        <w:rPr>
          <w:sz w:val="16"/>
        </w:rPr>
      </w:pPr>
    </w:p>
    <w:p w14:paraId="58DF67AD" w14:textId="77777777" w:rsidR="00631004" w:rsidRDefault="00631004">
      <w:pPr>
        <w:pStyle w:val="BodyText"/>
        <w:rPr>
          <w:sz w:val="16"/>
        </w:rPr>
      </w:pPr>
    </w:p>
    <w:p w14:paraId="58DF67AE" w14:textId="77777777" w:rsidR="00631004" w:rsidRDefault="00631004">
      <w:pPr>
        <w:pStyle w:val="BodyText"/>
        <w:rPr>
          <w:sz w:val="16"/>
        </w:rPr>
      </w:pPr>
    </w:p>
    <w:p w14:paraId="58DF67AF" w14:textId="77777777" w:rsidR="00631004" w:rsidRDefault="00631004">
      <w:pPr>
        <w:pStyle w:val="BodyText"/>
        <w:rPr>
          <w:sz w:val="16"/>
        </w:rPr>
      </w:pPr>
    </w:p>
    <w:p w14:paraId="58DF67B0" w14:textId="77777777" w:rsidR="00631004" w:rsidRDefault="00631004">
      <w:pPr>
        <w:pStyle w:val="BodyText"/>
        <w:rPr>
          <w:sz w:val="16"/>
        </w:rPr>
      </w:pPr>
    </w:p>
    <w:p w14:paraId="58DF67B1" w14:textId="77777777" w:rsidR="00631004" w:rsidRDefault="00631004">
      <w:pPr>
        <w:pStyle w:val="BodyText"/>
        <w:rPr>
          <w:sz w:val="16"/>
        </w:rPr>
      </w:pPr>
    </w:p>
    <w:p w14:paraId="58DF67B2" w14:textId="77777777" w:rsidR="00631004" w:rsidRDefault="00631004">
      <w:pPr>
        <w:pStyle w:val="BodyText"/>
        <w:rPr>
          <w:sz w:val="16"/>
        </w:rPr>
      </w:pPr>
    </w:p>
    <w:p w14:paraId="58DF67B3" w14:textId="77777777" w:rsidR="00631004" w:rsidRDefault="00631004">
      <w:pPr>
        <w:pStyle w:val="BodyText"/>
        <w:rPr>
          <w:sz w:val="16"/>
        </w:rPr>
      </w:pPr>
    </w:p>
    <w:p w14:paraId="58DF67B4" w14:textId="77777777" w:rsidR="00631004" w:rsidRDefault="00631004">
      <w:pPr>
        <w:pStyle w:val="BodyText"/>
        <w:rPr>
          <w:sz w:val="16"/>
        </w:rPr>
      </w:pPr>
    </w:p>
    <w:p w14:paraId="58DF67B5" w14:textId="77777777" w:rsidR="00631004" w:rsidRDefault="00631004">
      <w:pPr>
        <w:pStyle w:val="BodyText"/>
        <w:rPr>
          <w:sz w:val="16"/>
        </w:rPr>
      </w:pPr>
    </w:p>
    <w:p w14:paraId="58DF67B6" w14:textId="77777777" w:rsidR="00631004" w:rsidRDefault="00631004">
      <w:pPr>
        <w:pStyle w:val="BodyText"/>
        <w:rPr>
          <w:sz w:val="16"/>
        </w:rPr>
      </w:pPr>
    </w:p>
    <w:p w14:paraId="58DF67B7" w14:textId="77777777" w:rsidR="00631004" w:rsidRDefault="00631004">
      <w:pPr>
        <w:pStyle w:val="BodyText"/>
        <w:rPr>
          <w:sz w:val="16"/>
        </w:rPr>
      </w:pPr>
    </w:p>
    <w:p w14:paraId="58DF67B8" w14:textId="77777777" w:rsidR="00631004" w:rsidRDefault="00631004">
      <w:pPr>
        <w:pStyle w:val="BodyText"/>
        <w:rPr>
          <w:sz w:val="16"/>
        </w:rPr>
      </w:pPr>
    </w:p>
    <w:p w14:paraId="58DF67B9" w14:textId="77777777" w:rsidR="00631004" w:rsidRDefault="00631004">
      <w:pPr>
        <w:pStyle w:val="BodyText"/>
        <w:rPr>
          <w:sz w:val="16"/>
        </w:rPr>
      </w:pPr>
    </w:p>
    <w:p w14:paraId="58DF67BA" w14:textId="77777777" w:rsidR="00631004" w:rsidRDefault="00631004">
      <w:pPr>
        <w:pStyle w:val="BodyText"/>
        <w:rPr>
          <w:sz w:val="16"/>
        </w:rPr>
      </w:pPr>
    </w:p>
    <w:p w14:paraId="58DF67BB" w14:textId="77777777" w:rsidR="00631004" w:rsidRDefault="00631004">
      <w:pPr>
        <w:pStyle w:val="BodyText"/>
        <w:rPr>
          <w:sz w:val="16"/>
        </w:rPr>
      </w:pPr>
    </w:p>
    <w:p w14:paraId="58DF67BC" w14:textId="77777777" w:rsidR="00631004" w:rsidRDefault="00631004">
      <w:pPr>
        <w:pStyle w:val="BodyText"/>
        <w:rPr>
          <w:sz w:val="16"/>
        </w:rPr>
      </w:pPr>
    </w:p>
    <w:p w14:paraId="58DF67BD" w14:textId="77777777" w:rsidR="00631004" w:rsidRDefault="00631004">
      <w:pPr>
        <w:pStyle w:val="BodyText"/>
        <w:rPr>
          <w:sz w:val="16"/>
        </w:rPr>
      </w:pPr>
    </w:p>
    <w:p w14:paraId="58DF67BE" w14:textId="77777777" w:rsidR="00631004" w:rsidRDefault="00631004">
      <w:pPr>
        <w:pStyle w:val="BodyText"/>
        <w:rPr>
          <w:sz w:val="16"/>
        </w:rPr>
      </w:pPr>
    </w:p>
    <w:p w14:paraId="58DF67C2" w14:textId="2563CBAF" w:rsidR="00631004" w:rsidRDefault="00631004">
      <w:pPr>
        <w:ind w:left="18"/>
        <w:jc w:val="center"/>
        <w:rPr>
          <w:sz w:val="16"/>
        </w:rPr>
      </w:pPr>
    </w:p>
    <w:sectPr w:rsidR="00631004">
      <w:headerReference w:type="default" r:id="rId10"/>
      <w:footerReference w:type="default" r:id="rId11"/>
      <w:pgSz w:w="12240" w:h="15840"/>
      <w:pgMar w:top="1820" w:right="1340" w:bottom="1460" w:left="1320" w:header="72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ACB3" w14:textId="77777777" w:rsidR="00D83B0F" w:rsidRDefault="00D83B0F">
      <w:r>
        <w:separator/>
      </w:r>
    </w:p>
  </w:endnote>
  <w:endnote w:type="continuationSeparator" w:id="0">
    <w:p w14:paraId="22B6F97B" w14:textId="77777777" w:rsidR="00D83B0F" w:rsidRDefault="00D8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67C6" w14:textId="77777777" w:rsidR="00631004" w:rsidRDefault="00CE11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DF67CB" wp14:editId="58DF67CC">
              <wp:simplePos x="0" y="0"/>
              <wp:positionH relativeFrom="page">
                <wp:posOffset>901598</wp:posOffset>
              </wp:positionH>
              <wp:positionV relativeFrom="page">
                <wp:posOffset>9113202</wp:posOffset>
              </wp:positionV>
              <wp:extent cx="2134870" cy="250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87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F67D1" w14:textId="77777777" w:rsidR="00631004" w:rsidRDefault="00CE11BE">
                          <w:pPr>
                            <w:spacing w:line="182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104: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Authority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Signatory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Authority</w:t>
                          </w:r>
                        </w:p>
                        <w:p w14:paraId="3C7F416C" w14:textId="3ECD703F" w:rsidR="0032692D" w:rsidRDefault="0032692D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 date 03-30-2024</w:t>
                          </w:r>
                        </w:p>
                        <w:p w14:paraId="58DF67D2" w14:textId="48E65A84" w:rsidR="00631004" w:rsidRDefault="0063100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F67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1pt;margin-top:717.55pt;width:168.1pt;height:19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" filled="f" stroked="f">
              <v:textbox inset="0,0,0,0">
                <w:txbxContent>
                  <w:p w14:paraId="58DF67D1" w14:textId="77777777" w:rsidR="00631004" w:rsidRDefault="00CE11BE">
                    <w:pPr>
                      <w:spacing w:line="182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104: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Authority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Signatory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Authority</w:t>
                    </w:r>
                  </w:p>
                  <w:p w14:paraId="3C7F416C" w14:textId="3ECD703F" w:rsidR="0032692D" w:rsidRDefault="0032692D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 date 03-30-2024</w:t>
                    </w:r>
                  </w:p>
                  <w:p w14:paraId="58DF67D2" w14:textId="48E65A84" w:rsidR="00631004" w:rsidRDefault="0063100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DF67CD" wp14:editId="58DF67CE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F67D3" w14:textId="77777777" w:rsidR="00631004" w:rsidRDefault="00CE11BE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F67CD" id="Textbox 4" o:spid="_x0000_s1030" type="#_x0000_t202" style="position:absolute;margin-left:291.5pt;margin-top:736.65pt;width:29pt;height: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" filled="f" stroked="f">
              <v:textbox inset="0,0,0,0">
                <w:txbxContent>
                  <w:p w14:paraId="58DF67D3" w14:textId="77777777" w:rsidR="00631004" w:rsidRDefault="00CE11BE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5488" w14:textId="77777777" w:rsidR="00D83B0F" w:rsidRDefault="00D83B0F">
      <w:r>
        <w:separator/>
      </w:r>
    </w:p>
  </w:footnote>
  <w:footnote w:type="continuationSeparator" w:id="0">
    <w:p w14:paraId="09AC2A55" w14:textId="77777777" w:rsidR="00D83B0F" w:rsidRDefault="00D8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67C5" w14:textId="4CFCC4E4" w:rsidR="00631004" w:rsidRDefault="0063100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237"/>
    <w:multiLevelType w:val="hybridMultilevel"/>
    <w:tmpl w:val="FBEAEFD8"/>
    <w:lvl w:ilvl="0" w:tplc="F64C6670">
      <w:start w:val="1"/>
      <w:numFmt w:val="upperLetter"/>
      <w:lvlText w:val="%1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2E477F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A984B8B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8A6B10C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CE5C39A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664046A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6F14BA1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C46E497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98149C5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4551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04"/>
    <w:rsid w:val="002C0FED"/>
    <w:rsid w:val="00322631"/>
    <w:rsid w:val="0032692D"/>
    <w:rsid w:val="00610741"/>
    <w:rsid w:val="00615888"/>
    <w:rsid w:val="00631004"/>
    <w:rsid w:val="00CB5192"/>
    <w:rsid w:val="00CE11BE"/>
    <w:rsid w:val="00D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F6787"/>
  <w15:docId w15:val="{B7AA4671-3A2B-40AB-A74E-D1E97D9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39" w:right="2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6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2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631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C0FE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AF880-FF9D-4E58-A4EC-0D4B50C44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7A280-0E76-4E97-9134-94E446999797}">
  <ds:schemaRefs>
    <ds:schemaRef ds:uri="http://schemas.microsoft.com/office/2006/metadata/properties"/>
    <ds:schemaRef ds:uri="http://schemas.microsoft.com/office/infopath/2007/PartnerControls"/>
    <ds:schemaRef ds:uri="b7231b89-4636-4e87-bf18-5864c59853ef"/>
  </ds:schemaRefs>
</ds:datastoreItem>
</file>

<file path=customXml/itemProps3.xml><?xml version="1.0" encoding="utf-8"?>
<ds:datastoreItem xmlns:ds="http://schemas.openxmlformats.org/officeDocument/2006/customXml" ds:itemID="{E84FFC29-351B-48E4-9600-1A767D0CA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2024-04-08T22:46:00Z</dcterms:created>
  <dcterms:modified xsi:type="dcterms:W3CDTF">2024-04-08T22:46:00Z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D:20230302154552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2024-04-03T23:51:59Z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02fddfe1-e879-4f31-8996-638be5bb950a</vt:lpwstr>
  </property>
  <property fmtid="{D5CDD505-2E9C-101B-9397-08002B2CF9AE}" pid="14" name="MSIP_Label_bfe2c8f9-1977-4483-bc2a-a0132c8c75ea_ContentBits">
    <vt:lpwstr>0</vt:lpwstr>
  </property>
</Properties>
</file>